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黟县退役军人事务局等4部门关于印发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黟县退役军人和其他优抚对象免费乘坐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公共交通工具实施方案的通知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黟退役军人〔2023〕7号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各乡镇人民政府，县开发区管委会，县直和驻黟各单位：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《黟县退役军人和其他优抚对象免费乘坐公共交通工具实施方案》经研究同意，现印发给你们，请认真贯彻执行。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黟县退役军人事务局</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黟县发展和改革委员会</w:t>
      </w:r>
    </w:p>
    <w:p>
      <w:pPr>
        <w:keepNext w:val="0"/>
        <w:keepLines w:val="0"/>
        <w:pageBreakBefore w:val="0"/>
        <w:widowControl w:val="0"/>
        <w:kinsoku/>
        <w:wordWrap w:val="0"/>
        <w:overflowPunct/>
        <w:topLinePunct w:val="0"/>
        <w:autoSpaceDE/>
        <w:autoSpaceDN/>
        <w:bidi w:val="0"/>
        <w:adjustRightInd/>
        <w:snapToGrid/>
        <w:spacing w:line="580" w:lineRule="exact"/>
        <w:ind w:right="126" w:rightChars="6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黟县财政局</w:t>
      </w:r>
      <w:r>
        <w:rPr>
          <w:rFonts w:hint="eastAsia"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right="126" w:rightChars="60"/>
        <w:jc w:val="right"/>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黟县交通运输局</w:t>
      </w:r>
      <w:r>
        <w:rPr>
          <w:rFonts w:hint="eastAsia"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right="126" w:rightChars="6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2023年6月28日</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黟县退役军人和其他优抚对象免费乘坐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公共交通工具实施方案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习近平总书记关于退役军人工作重要论述，进一步提升退役军人和其他优抚对象的荣誉感和获得感，营造全社会尊崇军人的良好氛围，根据《中华人民共和国退役军人保障法》等要求及黄山市退役军人事务局等4部门联合印发的《黄山市退役军人和其他优抚对象免费乘坐公共交通工具实施方案》，结合我县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一、优待对象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全国范围内持《中华人民共和国退役军人优待证》《中华人民共和国烈士、因公牺牲军人、病故军人遗属优待证》的人员。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二、优待内容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抚对象凭《中华人民共和国退役军人优待证》《中华人民共和国烈士、因公牺牲军人、病故军人遗属优待证》，在黟县行政区域内免费乘坐常规公交线路（不含城际公交线路、定制公交、旅游专线和公交化运营的农村客运班线，具体以公布线路信息为准）。县中心城区具体路线附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三、实施时间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2023年7月1日起施行。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（一）提高思想认识。</w:t>
      </w:r>
      <w:r>
        <w:rPr>
          <w:rFonts w:hint="default" w:ascii="Times New Roman" w:hAnsi="Times New Roman" w:eastAsia="方正仿宋_GBK" w:cs="Times New Roman"/>
          <w:sz w:val="32"/>
          <w:szCs w:val="32"/>
        </w:rPr>
        <w:t>为退役军人和其他优抚对象实行免费乘坐公共交通工具政策是深入贯彻落实习近平总书记关于退役军人工作重要论述和重要指示批示精神的重要举措，是贯彻落实国家和省决策部署的具体抓手。各有关部门要不断深化思想认识，以高度的政治自觉推进退役军人和其他优抚对象免费乘坐公共交通工具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（二）加强组织领导。</w:t>
      </w:r>
      <w:r>
        <w:rPr>
          <w:rFonts w:hint="default" w:ascii="Times New Roman" w:hAnsi="Times New Roman" w:eastAsia="方正仿宋_GBK" w:cs="Times New Roman"/>
          <w:sz w:val="32"/>
          <w:szCs w:val="32"/>
        </w:rPr>
        <w:t>县财政部门应将退役军人和其他优抚对象免费乘坐公交的补贴费用纳入财政补助统筹考虑，负责落实资金保障，落实优待证刷卡系统板块开发费用，将免费乘车年度专项运营补贴足额纳入预算管理，据实核算。县交通运输部门落实好公共交通优待政策，明确公交线路，督促指导所属企业落实退役军人和其他优抚对象持优待证免费乘坐公共交通优待政策。县退役军人事务部门负责优待证制发、相关优待政策宣传并配合交通运输实现优待证公交刷卡功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（三）确保落地见效。</w:t>
      </w:r>
      <w:r>
        <w:rPr>
          <w:rFonts w:hint="default" w:ascii="Times New Roman" w:hAnsi="Times New Roman" w:eastAsia="方正仿宋_GBK" w:cs="Times New Roman"/>
          <w:sz w:val="32"/>
          <w:szCs w:val="32"/>
        </w:rPr>
        <w:t>各乡镇、各单位要采取灵活多样形式，广泛开展宣传，使社会各界了解优待政策，使广大优待证持证人知晓自身权益；要加大业务人员培训力度，特别是直接服务优抚证持证人的工作人员，做到熟练掌握优待内容，满腔热情做好优待服务工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keepNext w:val="0"/>
        <w:keepLines w:val="0"/>
        <w:pageBreakBefore w:val="0"/>
        <w:widowControl/>
        <w:kinsoku/>
        <w:wordWrap/>
        <w:overflowPunct/>
        <w:topLinePunct w:val="0"/>
        <w:autoSpaceDE w:val="0"/>
        <w:autoSpaceDN w:val="0"/>
        <w:bidi w:val="0"/>
        <w:adjustRightInd/>
        <w:snapToGrid/>
        <w:spacing w:line="580" w:lineRule="exact"/>
        <w:ind w:firstLine="0"/>
        <w:jc w:val="left"/>
        <w:textAlignment w:val="auto"/>
        <w:rPr>
          <w:rFonts w:hint="eastAsia" w:ascii="方正黑体_GBK" w:hAnsi="方正黑体_GBK" w:eastAsia="方正黑体_GBK" w:cs="方正黑体_GBK"/>
          <w:i w:val="0"/>
          <w:iCs w:val="0"/>
          <w:caps w:val="0"/>
          <w:color w:val="000000"/>
          <w:spacing w:val="0"/>
          <w:kern w:val="0"/>
          <w:sz w:val="32"/>
          <w:szCs w:val="32"/>
          <w:u w:val="none"/>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u w:val="none"/>
          <w:shd w:val="clear" w:fill="FFFFFF"/>
          <w:lang w:val="en-US" w:eastAsia="zh-CN" w:bidi="ar"/>
        </w:rPr>
        <w:t>附件</w:t>
      </w:r>
    </w:p>
    <w:p>
      <w:pPr>
        <w:pStyle w:val="2"/>
        <w:keepNext w:val="0"/>
        <w:keepLines w:val="0"/>
        <w:pageBreakBefore w:val="0"/>
        <w:widowControl/>
        <w:kinsoku/>
        <w:wordWrap/>
        <w:overflowPunct/>
        <w:topLinePunct w:val="0"/>
        <w:autoSpaceDE w:val="0"/>
        <w:autoSpaceDN w:val="0"/>
        <w:bidi w:val="0"/>
        <w:adjustRightInd/>
        <w:snapToGrid/>
        <w:spacing w:line="580" w:lineRule="exact"/>
        <w:ind w:firstLine="0"/>
        <w:jc w:val="center"/>
        <w:textAlignment w:val="auto"/>
        <w:rPr>
          <w:rFonts w:ascii="方正小标宋_GBK" w:hAnsi="方正小标宋_GBK" w:eastAsia="方正小标宋_GBK" w:cs="方正小标宋_GBK"/>
          <w:i w:val="0"/>
          <w:iCs w:val="0"/>
          <w:caps w:val="0"/>
          <w:color w:val="000000"/>
          <w:spacing w:val="0"/>
          <w:kern w:val="0"/>
          <w:sz w:val="44"/>
          <w:szCs w:val="44"/>
          <w:u w:val="none"/>
          <w:shd w:val="clear" w:fill="FFFFFF"/>
          <w:lang w:val="en-US" w:eastAsia="zh-CN" w:bidi="ar"/>
        </w:rPr>
      </w:pPr>
      <w:r>
        <w:rPr>
          <w:rFonts w:ascii="方正小标宋_GBK" w:hAnsi="方正小标宋_GBK" w:eastAsia="方正小标宋_GBK" w:cs="方正小标宋_GBK"/>
          <w:i w:val="0"/>
          <w:iCs w:val="0"/>
          <w:caps w:val="0"/>
          <w:color w:val="000000"/>
          <w:spacing w:val="0"/>
          <w:kern w:val="0"/>
          <w:sz w:val="44"/>
          <w:szCs w:val="44"/>
          <w:u w:val="none"/>
          <w:shd w:val="clear" w:fill="FFFFFF"/>
          <w:lang w:val="en-US" w:eastAsia="zh-CN" w:bidi="ar"/>
        </w:rPr>
        <w:t>黟县退役军人和其他优抚对象</w:t>
      </w:r>
      <w:bookmarkStart w:id="0" w:name="_GoBack"/>
      <w:bookmarkEnd w:id="0"/>
      <w:r>
        <w:rPr>
          <w:rFonts w:ascii="方正小标宋_GBK" w:hAnsi="方正小标宋_GBK" w:eastAsia="方正小标宋_GBK" w:cs="方正小标宋_GBK"/>
          <w:i w:val="0"/>
          <w:iCs w:val="0"/>
          <w:caps w:val="0"/>
          <w:color w:val="000000"/>
          <w:spacing w:val="0"/>
          <w:kern w:val="0"/>
          <w:sz w:val="44"/>
          <w:szCs w:val="44"/>
          <w:u w:val="none"/>
          <w:shd w:val="clear" w:fill="FFFFFF"/>
          <w:lang w:val="en-US" w:eastAsia="zh-CN" w:bidi="ar"/>
        </w:rPr>
        <w:t>免费乘坐公交</w:t>
      </w:r>
    </w:p>
    <w:p>
      <w:pPr>
        <w:pStyle w:val="2"/>
        <w:keepNext w:val="0"/>
        <w:keepLines w:val="0"/>
        <w:pageBreakBefore w:val="0"/>
        <w:widowControl/>
        <w:kinsoku/>
        <w:wordWrap/>
        <w:overflowPunct/>
        <w:topLinePunct w:val="0"/>
        <w:autoSpaceDE w:val="0"/>
        <w:autoSpaceDN w:val="0"/>
        <w:bidi w:val="0"/>
        <w:adjustRightInd/>
        <w:snapToGrid/>
        <w:spacing w:line="580" w:lineRule="exact"/>
        <w:ind w:firstLine="0"/>
        <w:jc w:val="center"/>
        <w:textAlignment w:val="auto"/>
        <w:rPr>
          <w:rFonts w:hint="default"/>
          <w:sz w:val="44"/>
          <w:szCs w:val="44"/>
        </w:rPr>
      </w:pPr>
      <w:r>
        <w:rPr>
          <w:rFonts w:ascii="方正小标宋_GBK" w:hAnsi="方正小标宋_GBK" w:eastAsia="方正小标宋_GBK" w:cs="方正小标宋_GBK"/>
          <w:i w:val="0"/>
          <w:iCs w:val="0"/>
          <w:caps w:val="0"/>
          <w:color w:val="000000"/>
          <w:spacing w:val="0"/>
          <w:kern w:val="0"/>
          <w:sz w:val="44"/>
          <w:szCs w:val="44"/>
          <w:u w:val="none"/>
          <w:shd w:val="clear" w:fill="FFFFFF"/>
          <w:lang w:val="en-US" w:eastAsia="zh-CN" w:bidi="ar"/>
        </w:rPr>
        <w:t>线路明细表</w:t>
      </w:r>
    </w:p>
    <w:tbl>
      <w:tblPr>
        <w:tblW w:w="50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52"/>
        <w:gridCol w:w="1995"/>
        <w:gridCol w:w="6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3" w:hRule="atLeast"/>
          <w:jc w:val="center"/>
        </w:trPr>
        <w:tc>
          <w:tcPr>
            <w:tcW w:w="652"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i w:val="0"/>
                <w:iCs w:val="0"/>
                <w:color w:val="000000"/>
                <w:sz w:val="22"/>
                <w:szCs w:val="22"/>
                <w:u w:val="none"/>
              </w:rPr>
            </w:pPr>
            <w:r>
              <w:rPr>
                <w:rFonts w:hint="default" w:ascii="Times New Roman" w:hAnsi="Times New Roman" w:eastAsia="方正仿宋_GBK" w:cs="Times New Roman"/>
                <w:sz w:val="32"/>
                <w:szCs w:val="32"/>
              </w:rPr>
              <w:br w:type="page"/>
            </w:r>
            <w:r>
              <w:rPr>
                <w:rFonts w:ascii="方正黑体_GBK" w:hAnsi="方正黑体_GBK" w:eastAsia="方正黑体_GBK" w:cs="方正黑体_GBK"/>
                <w:i w:val="0"/>
                <w:iCs w:val="0"/>
                <w:color w:val="000000"/>
                <w:kern w:val="0"/>
                <w:sz w:val="24"/>
                <w:szCs w:val="24"/>
                <w:u w:val="none"/>
                <w:bdr w:val="none" w:color="auto" w:sz="0" w:space="0"/>
                <w:lang w:val="en-US" w:eastAsia="zh-CN" w:bidi="ar"/>
              </w:rPr>
              <w:t>序号</w:t>
            </w:r>
          </w:p>
        </w:tc>
        <w:tc>
          <w:tcPr>
            <w:tcW w:w="1995"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i w:val="0"/>
                <w:iCs w:val="0"/>
                <w:color w:val="000000"/>
                <w:sz w:val="22"/>
                <w:szCs w:val="22"/>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线路</w:t>
            </w:r>
          </w:p>
        </w:tc>
        <w:tc>
          <w:tcPr>
            <w:tcW w:w="62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i w:val="0"/>
                <w:iCs w:val="0"/>
                <w:color w:val="000000"/>
                <w:sz w:val="22"/>
                <w:szCs w:val="22"/>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途中停靠站点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0" w:hRule="atLeast"/>
          <w:jc w:val="center"/>
        </w:trPr>
        <w:tc>
          <w:tcPr>
            <w:tcW w:w="652"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w:t>
            </w:r>
          </w:p>
        </w:tc>
        <w:tc>
          <w:tcPr>
            <w:tcW w:w="199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县汽车站-木坑竹海 （1路）</w:t>
            </w:r>
          </w:p>
        </w:tc>
        <w:tc>
          <w:tcPr>
            <w:tcW w:w="62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县汽车站、龙川广场、黟县中学、惠民小区、政务中心、财政局、县中医院、高岐家园、石村、秀里村、秀里景区、赛金花景区、汤蜀村、奇墅湖、宏村西门停车场、卢村景区、大同村、塔川景区、木坑竹海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68" w:hRule="atLeast"/>
          <w:jc w:val="center"/>
        </w:trPr>
        <w:tc>
          <w:tcPr>
            <w:tcW w:w="652"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c>
          <w:tcPr>
            <w:tcW w:w="199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县汽车站-西递-石林（2路）</w:t>
            </w:r>
          </w:p>
        </w:tc>
        <w:tc>
          <w:tcPr>
            <w:tcW w:w="62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龙川广场、公园首府、开元世家、健身主题公园、示范幼儿园、政务中心、法院、横岗转盘、横岗村、石山村、西递镇政府、兴泰西递驿、西递景区、西递村、潭口路口、石印、石印村委会、小坞、大坞路口、叶村村委会、石林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3" w:hRule="atLeast"/>
          <w:jc w:val="center"/>
        </w:trPr>
        <w:tc>
          <w:tcPr>
            <w:tcW w:w="652"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c>
          <w:tcPr>
            <w:tcW w:w="199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县汽车站-渔亭-考川-楠玛（3路）</w:t>
            </w:r>
          </w:p>
        </w:tc>
        <w:tc>
          <w:tcPr>
            <w:tcW w:w="62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龙川广场、碧山小学、北门桥、示范幼儿园、政务中心、惠民小区、县人民医院、横岗转盘、横岗村、石山村、桃花源漂流、桃源村、石门坦、英川、渔亭路口、渔亭镇老中学、下阜村委会、汪村、考川村委会、前坑、楠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8" w:hRule="atLeast"/>
          <w:jc w:val="center"/>
        </w:trPr>
        <w:tc>
          <w:tcPr>
            <w:tcW w:w="652"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w:t>
            </w:r>
          </w:p>
        </w:tc>
        <w:tc>
          <w:tcPr>
            <w:tcW w:w="199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碧山环线（4路）</w:t>
            </w:r>
          </w:p>
        </w:tc>
        <w:tc>
          <w:tcPr>
            <w:tcW w:w="62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县汽车站、茶城站、县人民医院、惠民小区、农商行大楼、泰和雅居、泰和广场、县总工会、江柏山、桃花源酒厂、碧山站、养亲苑、丰梧村委会、梧村、五东殿站、黟山郡站、徽府别院、龙川广场、县汽车站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2" w:hRule="atLeast"/>
          <w:jc w:val="center"/>
        </w:trPr>
        <w:tc>
          <w:tcPr>
            <w:tcW w:w="652" w:type="dxa"/>
            <w:tcBorders>
              <w:top w:val="single" w:color="000000" w:sz="6" w:space="0"/>
              <w:left w:val="single" w:color="000000" w:sz="6" w:space="0"/>
              <w:bottom w:val="single" w:color="000000" w:sz="6" w:space="0"/>
              <w:right w:val="single" w:color="000000" w:sz="6"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w:t>
            </w:r>
          </w:p>
        </w:tc>
        <w:tc>
          <w:tcPr>
            <w:tcW w:w="199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金家岭-关麓</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（5路）</w:t>
            </w:r>
          </w:p>
        </w:tc>
        <w:tc>
          <w:tcPr>
            <w:tcW w:w="62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金家岭、屏山小学、屏山景区、书画小镇、秀里影视城、秀里村、石村、高岐家园（碧阳中学）、县中医院（农贸市场）、财政局、健身主题公园、示范幼儿园、政务中心、惠民小区、黟县中学（人民医院）、黟县汽车站、龙川广场（天润发超市正门）、徽府别院、碧阳镇政府、月塘、星火村、南屏景区、古黄村守拙园、关麓景区</w:t>
            </w:r>
          </w:p>
        </w:tc>
      </w:tr>
    </w:tbl>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r>
      <w:fldChar w:fldCharType="begin"/>
    </w:r>
    <w:r>
      <w:instrText xml:space="preserve">PAGE   \* MERGEFORMAT</w:instrText>
    </w:r>
    <w:r>
      <w:fldChar w:fldCharType="separate"/>
    </w:r>
    <w:r>
      <w:rPr>
        <w:lang w:val="zh-CN"/>
      </w:rPr>
      <w:t>1</w:t>
    </w:r>
    <w:r>
      <w:fldChar w:fldCharType="end"/>
    </w:r>
  </w:p>
  <w:p>
    <w:pPr>
      <w:pStyle w:val="4"/>
      <w:jc w:val="center"/>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YWI5MmQ3NjUyODQyNjNkYjE3YzViOGRkZjUzZjgifQ=="/>
  </w:docVars>
  <w:rsids>
    <w:rsidRoot w:val="1A6F7A93"/>
    <w:rsid w:val="03A760E0"/>
    <w:rsid w:val="1A6F7A93"/>
    <w:rsid w:val="5940271D"/>
    <w:rsid w:val="771C142D"/>
    <w:rsid w:val="78BF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2690</Characters>
  <Lines>0</Lines>
  <Paragraphs>0</Paragraphs>
  <TotalTime>2</TotalTime>
  <ScaleCrop>false</ScaleCrop>
  <LinksUpToDate>false</LinksUpToDate>
  <CharactersWithSpaces>2693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2022-11-10T16:31:00Z</dcterms:created>
  <dc:creator>Administrator</dc:creator>
  <cp:lastModifiedBy>LK</cp:lastModifiedBy>
  <dcterms:modified xsi:type="dcterms:W3CDTF">2023-08-09T03:50:58Z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3059C3C0F47B473AA41E8D92EDCD0A94</vt:lpwstr>
  </property>
</Properties>
</file>