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217" w:rsidRDefault="000F7217" w:rsidP="000F7217">
      <w:pPr>
        <w:jc w:val="center"/>
        <w:rPr>
          <w:rFonts w:ascii="宋体" w:hAnsi="宋体"/>
          <w:b/>
          <w:sz w:val="36"/>
          <w:szCs w:val="36"/>
        </w:rPr>
      </w:pPr>
      <w:r>
        <w:rPr>
          <w:rFonts w:ascii="宋体" w:hAnsi="宋体" w:hint="eastAsia"/>
          <w:b/>
          <w:sz w:val="36"/>
          <w:szCs w:val="36"/>
        </w:rPr>
        <w:t>黟县</w:t>
      </w:r>
      <w:r>
        <w:rPr>
          <w:rFonts w:ascii="宋体" w:hAnsi="宋体" w:hint="eastAsia"/>
          <w:b/>
          <w:sz w:val="36"/>
          <w:szCs w:val="36"/>
        </w:rPr>
        <w:t>发展和改革委员会</w:t>
      </w:r>
      <w:r>
        <w:rPr>
          <w:rFonts w:ascii="宋体" w:hAnsi="宋体" w:hint="eastAsia"/>
          <w:b/>
          <w:sz w:val="36"/>
          <w:szCs w:val="36"/>
        </w:rPr>
        <w:t>2023</w:t>
      </w:r>
      <w:r>
        <w:rPr>
          <w:rFonts w:ascii="宋体" w:hAnsi="宋体" w:hint="eastAsia"/>
          <w:b/>
          <w:sz w:val="36"/>
          <w:szCs w:val="36"/>
        </w:rPr>
        <w:t>年度一般公共预算财政拨款“三公”经费支出决算</w:t>
      </w:r>
    </w:p>
    <w:p w:rsidR="000F7217" w:rsidRDefault="000F7217" w:rsidP="000F7217">
      <w:pPr>
        <w:jc w:val="center"/>
        <w:rPr>
          <w:rFonts w:ascii="楷体_GB2312" w:eastAsia="楷体_GB2312" w:hint="eastAsia"/>
          <w:szCs w:val="32"/>
        </w:rPr>
      </w:pPr>
    </w:p>
    <w:p w:rsidR="000F7217" w:rsidRDefault="000F7217" w:rsidP="000F7217">
      <w:pPr>
        <w:adjustRightInd w:val="0"/>
        <w:snapToGrid w:val="0"/>
        <w:spacing w:line="360" w:lineRule="auto"/>
        <w:jc w:val="center"/>
        <w:rPr>
          <w:rFonts w:ascii="宋体" w:hAnsi="宋体" w:hint="eastAsia"/>
          <w:sz w:val="6"/>
          <w:szCs w:val="32"/>
        </w:rPr>
      </w:pPr>
    </w:p>
    <w:p w:rsidR="000F7217" w:rsidRDefault="000F7217" w:rsidP="000F7217">
      <w:pPr>
        <w:rPr>
          <w:rFonts w:ascii="黑体" w:eastAsia="黑体" w:hAnsi="黑体" w:hint="eastAsia"/>
          <w:szCs w:val="32"/>
        </w:rPr>
      </w:pPr>
      <w:r>
        <w:rPr>
          <w:rFonts w:ascii="黑体" w:eastAsia="黑体" w:hAnsi="黑体" w:hint="eastAsia"/>
          <w:szCs w:val="32"/>
        </w:rPr>
        <w:t xml:space="preserve">    一、2023年度一般公共预算财政拨款“三公”经费支出决算表</w:t>
      </w:r>
    </w:p>
    <w:p w:rsidR="000F7217" w:rsidRDefault="000F7217" w:rsidP="000F7217">
      <w:pPr>
        <w:jc w:val="right"/>
        <w:rPr>
          <w:rFonts w:ascii="黑体" w:eastAsia="黑体" w:hAnsi="黑体" w:hint="eastAsia"/>
          <w:szCs w:val="32"/>
        </w:rPr>
      </w:pPr>
      <w:r>
        <w:rPr>
          <w:rFonts w:ascii="仿宋_GB2312" w:hAnsi="仿宋_GB2312" w:cs="仿宋_GB2312" w:hint="eastAsia"/>
          <w:szCs w:val="32"/>
        </w:rPr>
        <w:t>单位：万元</w:t>
      </w:r>
    </w:p>
    <w:tbl>
      <w:tblPr>
        <w:tblpPr w:leftFromText="180" w:rightFromText="180" w:vertAnchor="text" w:horzAnchor="margin" w:tblpY="454"/>
        <w:tblOverlap w:val="never"/>
        <w:tblW w:w="0" w:type="auto"/>
        <w:tblLayout w:type="fixed"/>
        <w:tblLook w:val="04A0" w:firstRow="1" w:lastRow="0" w:firstColumn="1" w:lastColumn="0" w:noHBand="0" w:noVBand="1"/>
      </w:tblPr>
      <w:tblGrid>
        <w:gridCol w:w="4379"/>
        <w:gridCol w:w="2157"/>
        <w:gridCol w:w="2220"/>
      </w:tblGrid>
      <w:tr w:rsidR="000F7217" w:rsidTr="000F7217">
        <w:trPr>
          <w:trHeight w:val="397"/>
        </w:trPr>
        <w:tc>
          <w:tcPr>
            <w:tcW w:w="4379" w:type="dxa"/>
            <w:tcBorders>
              <w:top w:val="single" w:sz="4" w:space="0" w:color="auto"/>
              <w:left w:val="single" w:sz="4" w:space="0" w:color="auto"/>
              <w:bottom w:val="single" w:sz="4" w:space="0" w:color="auto"/>
              <w:right w:val="single" w:sz="4" w:space="0" w:color="auto"/>
            </w:tcBorders>
            <w:vAlign w:val="center"/>
            <w:hideMark/>
          </w:tcPr>
          <w:p w:rsidR="000F7217" w:rsidRDefault="000F7217">
            <w:pPr>
              <w:widowControl/>
              <w:jc w:val="center"/>
              <w:rPr>
                <w:rFonts w:ascii="宋体" w:hAnsi="宋体" w:cs="宋体"/>
                <w:b/>
                <w:bCs/>
                <w:kern w:val="0"/>
                <w:szCs w:val="21"/>
              </w:rPr>
            </w:pPr>
            <w:r>
              <w:rPr>
                <w:rFonts w:ascii="宋体" w:hAnsi="宋体" w:cs="宋体" w:hint="eastAsia"/>
                <w:b/>
                <w:bCs/>
                <w:kern w:val="0"/>
                <w:szCs w:val="21"/>
              </w:rPr>
              <w:t>项</w:t>
            </w:r>
            <w:r>
              <w:rPr>
                <w:rFonts w:ascii="宋体" w:hAnsi="宋体" w:cs="宋体" w:hint="eastAsia"/>
                <w:b/>
                <w:bCs/>
                <w:kern w:val="0"/>
                <w:szCs w:val="21"/>
              </w:rPr>
              <w:t xml:space="preserve">  </w:t>
            </w:r>
            <w:r>
              <w:rPr>
                <w:rFonts w:ascii="宋体" w:hAnsi="宋体" w:cs="宋体" w:hint="eastAsia"/>
                <w:b/>
                <w:bCs/>
                <w:kern w:val="0"/>
                <w:szCs w:val="21"/>
              </w:rPr>
              <w:t>目</w:t>
            </w:r>
          </w:p>
        </w:tc>
        <w:tc>
          <w:tcPr>
            <w:tcW w:w="2157" w:type="dxa"/>
            <w:tcBorders>
              <w:top w:val="single" w:sz="4" w:space="0" w:color="auto"/>
              <w:left w:val="nil"/>
              <w:bottom w:val="single" w:sz="4" w:space="0" w:color="auto"/>
              <w:right w:val="single" w:sz="4" w:space="0" w:color="auto"/>
            </w:tcBorders>
            <w:vAlign w:val="center"/>
            <w:hideMark/>
          </w:tcPr>
          <w:p w:rsidR="000F7217" w:rsidRDefault="000F7217">
            <w:pPr>
              <w:widowControl/>
              <w:jc w:val="center"/>
              <w:rPr>
                <w:rFonts w:ascii="宋体" w:hAnsi="宋体" w:cs="宋体"/>
                <w:b/>
                <w:bCs/>
                <w:kern w:val="0"/>
                <w:szCs w:val="21"/>
              </w:rPr>
            </w:pPr>
            <w:r>
              <w:rPr>
                <w:rFonts w:ascii="宋体" w:hAnsi="宋体" w:cs="宋体" w:hint="eastAsia"/>
                <w:b/>
                <w:bCs/>
                <w:kern w:val="0"/>
                <w:szCs w:val="21"/>
              </w:rPr>
              <w:t>预</w:t>
            </w:r>
            <w:r>
              <w:rPr>
                <w:rFonts w:ascii="宋体" w:hAnsi="宋体" w:cs="宋体" w:hint="eastAsia"/>
                <w:b/>
                <w:bCs/>
                <w:kern w:val="0"/>
                <w:szCs w:val="21"/>
              </w:rPr>
              <w:t xml:space="preserve"> </w:t>
            </w:r>
            <w:r>
              <w:rPr>
                <w:rFonts w:ascii="宋体" w:hAnsi="宋体" w:cs="宋体" w:hint="eastAsia"/>
                <w:b/>
                <w:bCs/>
                <w:kern w:val="0"/>
                <w:szCs w:val="21"/>
              </w:rPr>
              <w:t>算</w:t>
            </w:r>
            <w:r>
              <w:rPr>
                <w:rFonts w:ascii="宋体" w:hAnsi="宋体" w:cs="宋体" w:hint="eastAsia"/>
                <w:b/>
                <w:bCs/>
                <w:kern w:val="0"/>
                <w:szCs w:val="21"/>
              </w:rPr>
              <w:t xml:space="preserve"> </w:t>
            </w:r>
            <w:r>
              <w:rPr>
                <w:rFonts w:ascii="宋体" w:hAnsi="宋体" w:cs="宋体" w:hint="eastAsia"/>
                <w:b/>
                <w:bCs/>
                <w:kern w:val="0"/>
                <w:szCs w:val="21"/>
              </w:rPr>
              <w:t>数</w:t>
            </w:r>
          </w:p>
        </w:tc>
        <w:tc>
          <w:tcPr>
            <w:tcW w:w="2220" w:type="dxa"/>
            <w:tcBorders>
              <w:top w:val="single" w:sz="4" w:space="0" w:color="auto"/>
              <w:left w:val="nil"/>
              <w:bottom w:val="single" w:sz="4" w:space="0" w:color="auto"/>
              <w:right w:val="single" w:sz="4" w:space="0" w:color="auto"/>
            </w:tcBorders>
            <w:vAlign w:val="center"/>
            <w:hideMark/>
          </w:tcPr>
          <w:p w:rsidR="000F7217" w:rsidRDefault="000F7217">
            <w:pPr>
              <w:widowControl/>
              <w:jc w:val="center"/>
              <w:rPr>
                <w:rFonts w:ascii="宋体" w:hAnsi="宋体" w:cs="宋体"/>
                <w:b/>
                <w:bCs/>
                <w:kern w:val="0"/>
                <w:szCs w:val="21"/>
              </w:rPr>
            </w:pPr>
            <w:r>
              <w:rPr>
                <w:rFonts w:ascii="宋体" w:hAnsi="宋体" w:cs="宋体" w:hint="eastAsia"/>
                <w:b/>
                <w:bCs/>
                <w:kern w:val="0"/>
                <w:szCs w:val="21"/>
              </w:rPr>
              <w:t>决</w:t>
            </w:r>
            <w:r>
              <w:rPr>
                <w:rFonts w:ascii="宋体" w:hAnsi="宋体" w:cs="宋体" w:hint="eastAsia"/>
                <w:b/>
                <w:bCs/>
                <w:kern w:val="0"/>
                <w:szCs w:val="21"/>
              </w:rPr>
              <w:t xml:space="preserve"> </w:t>
            </w:r>
            <w:r>
              <w:rPr>
                <w:rFonts w:ascii="宋体" w:hAnsi="宋体" w:cs="宋体" w:hint="eastAsia"/>
                <w:b/>
                <w:bCs/>
                <w:kern w:val="0"/>
                <w:szCs w:val="21"/>
              </w:rPr>
              <w:t>算</w:t>
            </w:r>
            <w:r>
              <w:rPr>
                <w:rFonts w:ascii="宋体" w:hAnsi="宋体" w:cs="宋体" w:hint="eastAsia"/>
                <w:b/>
                <w:bCs/>
                <w:kern w:val="0"/>
                <w:szCs w:val="21"/>
              </w:rPr>
              <w:t xml:space="preserve"> </w:t>
            </w:r>
            <w:r>
              <w:rPr>
                <w:rFonts w:ascii="宋体" w:hAnsi="宋体" w:cs="宋体" w:hint="eastAsia"/>
                <w:b/>
                <w:bCs/>
                <w:kern w:val="0"/>
                <w:szCs w:val="21"/>
              </w:rPr>
              <w:t>数</w:t>
            </w:r>
          </w:p>
        </w:tc>
      </w:tr>
      <w:tr w:rsidR="000F7217" w:rsidTr="000F7217">
        <w:trPr>
          <w:trHeight w:val="397"/>
        </w:trPr>
        <w:tc>
          <w:tcPr>
            <w:tcW w:w="4379" w:type="dxa"/>
            <w:tcBorders>
              <w:top w:val="nil"/>
              <w:left w:val="single" w:sz="4" w:space="0" w:color="auto"/>
              <w:bottom w:val="single" w:sz="4" w:space="0" w:color="auto"/>
              <w:right w:val="single" w:sz="4" w:space="0" w:color="auto"/>
            </w:tcBorders>
            <w:vAlign w:val="center"/>
            <w:hideMark/>
          </w:tcPr>
          <w:p w:rsidR="000F7217" w:rsidRDefault="000F7217">
            <w:pPr>
              <w:widowControl/>
              <w:jc w:val="center"/>
              <w:rPr>
                <w:rFonts w:ascii="宋体" w:hAnsi="宋体" w:cs="宋体"/>
                <w:b/>
                <w:bCs/>
                <w:kern w:val="0"/>
                <w:szCs w:val="21"/>
              </w:rPr>
            </w:pPr>
            <w:r>
              <w:rPr>
                <w:rFonts w:ascii="宋体" w:hAnsi="宋体" w:cs="宋体" w:hint="eastAsia"/>
                <w:b/>
                <w:bCs/>
                <w:kern w:val="0"/>
                <w:szCs w:val="21"/>
              </w:rPr>
              <w:t>合</w:t>
            </w:r>
            <w:r>
              <w:rPr>
                <w:rFonts w:ascii="宋体" w:hAnsi="宋体" w:cs="宋体" w:hint="eastAsia"/>
                <w:b/>
                <w:bCs/>
                <w:kern w:val="0"/>
                <w:szCs w:val="21"/>
              </w:rPr>
              <w:t xml:space="preserve">  </w:t>
            </w:r>
            <w:r>
              <w:rPr>
                <w:rFonts w:ascii="宋体" w:hAnsi="宋体" w:cs="宋体" w:hint="eastAsia"/>
                <w:b/>
                <w:bCs/>
                <w:kern w:val="0"/>
                <w:szCs w:val="21"/>
              </w:rPr>
              <w:t>计</w:t>
            </w:r>
          </w:p>
        </w:tc>
        <w:tc>
          <w:tcPr>
            <w:tcW w:w="2157" w:type="dxa"/>
            <w:tcBorders>
              <w:top w:val="nil"/>
              <w:left w:val="nil"/>
              <w:bottom w:val="single" w:sz="4" w:space="0" w:color="auto"/>
              <w:right w:val="single" w:sz="4" w:space="0" w:color="auto"/>
            </w:tcBorders>
            <w:vAlign w:val="center"/>
            <w:hideMark/>
          </w:tcPr>
          <w:p w:rsidR="000F7217" w:rsidRDefault="008E4DFC">
            <w:pPr>
              <w:widowControl/>
              <w:jc w:val="center"/>
              <w:rPr>
                <w:rFonts w:ascii="宋体" w:hAnsi="宋体" w:cs="宋体"/>
                <w:b/>
                <w:bCs/>
                <w:kern w:val="0"/>
                <w:szCs w:val="21"/>
              </w:rPr>
            </w:pPr>
            <w:r>
              <w:rPr>
                <w:rFonts w:ascii="宋体" w:hAnsi="宋体" w:cs="宋体" w:hint="eastAsia"/>
                <w:b/>
                <w:bCs/>
                <w:kern w:val="0"/>
                <w:szCs w:val="21"/>
              </w:rPr>
              <w:t>17.75</w:t>
            </w:r>
          </w:p>
        </w:tc>
        <w:tc>
          <w:tcPr>
            <w:tcW w:w="2220" w:type="dxa"/>
            <w:tcBorders>
              <w:top w:val="nil"/>
              <w:left w:val="nil"/>
              <w:bottom w:val="single" w:sz="4" w:space="0" w:color="auto"/>
              <w:right w:val="single" w:sz="4" w:space="0" w:color="auto"/>
            </w:tcBorders>
            <w:vAlign w:val="center"/>
            <w:hideMark/>
          </w:tcPr>
          <w:p w:rsidR="000F7217" w:rsidRDefault="008E4DFC">
            <w:pPr>
              <w:widowControl/>
              <w:jc w:val="center"/>
              <w:rPr>
                <w:rFonts w:ascii="宋体" w:hAnsi="宋体" w:cs="宋体"/>
                <w:b/>
                <w:bCs/>
                <w:kern w:val="0"/>
                <w:szCs w:val="21"/>
              </w:rPr>
            </w:pPr>
            <w:r>
              <w:rPr>
                <w:rFonts w:ascii="宋体" w:hAnsi="宋体" w:cs="宋体" w:hint="eastAsia"/>
                <w:b/>
                <w:bCs/>
                <w:kern w:val="0"/>
                <w:szCs w:val="21"/>
              </w:rPr>
              <w:t>17.75</w:t>
            </w:r>
          </w:p>
        </w:tc>
      </w:tr>
      <w:tr w:rsidR="000F7217" w:rsidTr="000F7217">
        <w:trPr>
          <w:trHeight w:val="397"/>
        </w:trPr>
        <w:tc>
          <w:tcPr>
            <w:tcW w:w="4379" w:type="dxa"/>
            <w:tcBorders>
              <w:top w:val="nil"/>
              <w:left w:val="single" w:sz="4" w:space="0" w:color="auto"/>
              <w:bottom w:val="single" w:sz="4" w:space="0" w:color="auto"/>
              <w:right w:val="single" w:sz="4" w:space="0" w:color="auto"/>
            </w:tcBorders>
            <w:vAlign w:val="center"/>
            <w:hideMark/>
          </w:tcPr>
          <w:p w:rsidR="000F7217" w:rsidRDefault="000F7217">
            <w:pPr>
              <w:widowControl/>
              <w:jc w:val="left"/>
              <w:rPr>
                <w:rFonts w:ascii="宋体" w:hAnsi="宋体" w:cs="宋体"/>
                <w:kern w:val="0"/>
                <w:szCs w:val="21"/>
              </w:rPr>
            </w:pPr>
            <w:r>
              <w:rPr>
                <w:rFonts w:ascii="宋体" w:hAnsi="宋体" w:cs="宋体" w:hint="eastAsia"/>
                <w:kern w:val="0"/>
                <w:szCs w:val="21"/>
              </w:rPr>
              <w:t>因公出国（境）费</w:t>
            </w:r>
          </w:p>
        </w:tc>
        <w:tc>
          <w:tcPr>
            <w:tcW w:w="2157" w:type="dxa"/>
            <w:tcBorders>
              <w:top w:val="nil"/>
              <w:left w:val="nil"/>
              <w:bottom w:val="single" w:sz="4" w:space="0" w:color="auto"/>
              <w:right w:val="single" w:sz="4" w:space="0" w:color="auto"/>
            </w:tcBorders>
            <w:vAlign w:val="bottom"/>
            <w:hideMark/>
          </w:tcPr>
          <w:p w:rsidR="000F7217" w:rsidRDefault="00BD65A0">
            <w:pPr>
              <w:widowControl/>
              <w:jc w:val="left"/>
              <w:rPr>
                <w:rFonts w:ascii="宋体" w:hAnsi="宋体" w:cs="宋体"/>
                <w:kern w:val="0"/>
                <w:szCs w:val="21"/>
              </w:rPr>
            </w:pPr>
            <w:r>
              <w:rPr>
                <w:rFonts w:ascii="宋体" w:hAnsi="宋体" w:cs="宋体" w:hint="eastAsia"/>
                <w:kern w:val="0"/>
                <w:szCs w:val="21"/>
              </w:rPr>
              <w:t>0</w:t>
            </w:r>
          </w:p>
        </w:tc>
        <w:tc>
          <w:tcPr>
            <w:tcW w:w="2220" w:type="dxa"/>
            <w:tcBorders>
              <w:top w:val="nil"/>
              <w:left w:val="nil"/>
              <w:bottom w:val="single" w:sz="4" w:space="0" w:color="auto"/>
              <w:right w:val="single" w:sz="4" w:space="0" w:color="auto"/>
            </w:tcBorders>
            <w:vAlign w:val="bottom"/>
            <w:hideMark/>
          </w:tcPr>
          <w:p w:rsidR="000F7217" w:rsidRDefault="00BD65A0">
            <w:pPr>
              <w:widowControl/>
              <w:jc w:val="left"/>
              <w:rPr>
                <w:rFonts w:ascii="宋体" w:hAnsi="宋体" w:cs="宋体"/>
                <w:kern w:val="0"/>
                <w:szCs w:val="21"/>
              </w:rPr>
            </w:pPr>
            <w:r>
              <w:rPr>
                <w:rFonts w:ascii="宋体" w:hAnsi="宋体" w:cs="宋体" w:hint="eastAsia"/>
                <w:kern w:val="0"/>
                <w:szCs w:val="21"/>
              </w:rPr>
              <w:t>0</w:t>
            </w:r>
          </w:p>
        </w:tc>
      </w:tr>
      <w:tr w:rsidR="000F7217" w:rsidTr="000F7217">
        <w:trPr>
          <w:trHeight w:val="397"/>
        </w:trPr>
        <w:tc>
          <w:tcPr>
            <w:tcW w:w="4379" w:type="dxa"/>
            <w:tcBorders>
              <w:top w:val="nil"/>
              <w:left w:val="single" w:sz="4" w:space="0" w:color="auto"/>
              <w:bottom w:val="single" w:sz="4" w:space="0" w:color="auto"/>
              <w:right w:val="single" w:sz="4" w:space="0" w:color="auto"/>
            </w:tcBorders>
            <w:vAlign w:val="center"/>
            <w:hideMark/>
          </w:tcPr>
          <w:p w:rsidR="000F7217" w:rsidRDefault="000F7217">
            <w:pPr>
              <w:widowControl/>
              <w:jc w:val="left"/>
              <w:rPr>
                <w:rFonts w:ascii="宋体" w:hAnsi="宋体" w:cs="宋体"/>
                <w:kern w:val="0"/>
                <w:szCs w:val="21"/>
              </w:rPr>
            </w:pPr>
            <w:r>
              <w:rPr>
                <w:rFonts w:ascii="宋体" w:hAnsi="宋体" w:cs="宋体" w:hint="eastAsia"/>
                <w:kern w:val="0"/>
                <w:szCs w:val="21"/>
              </w:rPr>
              <w:t>公务接待费</w:t>
            </w:r>
          </w:p>
        </w:tc>
        <w:tc>
          <w:tcPr>
            <w:tcW w:w="2157" w:type="dxa"/>
            <w:tcBorders>
              <w:top w:val="nil"/>
              <w:left w:val="nil"/>
              <w:bottom w:val="single" w:sz="4" w:space="0" w:color="auto"/>
              <w:right w:val="single" w:sz="4" w:space="0" w:color="auto"/>
            </w:tcBorders>
            <w:vAlign w:val="bottom"/>
            <w:hideMark/>
          </w:tcPr>
          <w:p w:rsidR="000F7217" w:rsidRDefault="00E0652A">
            <w:pPr>
              <w:widowControl/>
              <w:jc w:val="left"/>
              <w:rPr>
                <w:rFonts w:ascii="宋体" w:hAnsi="宋体" w:cs="宋体"/>
                <w:kern w:val="0"/>
                <w:szCs w:val="21"/>
              </w:rPr>
            </w:pPr>
            <w:r>
              <w:rPr>
                <w:rFonts w:ascii="宋体" w:hAnsi="宋体" w:cs="宋体" w:hint="eastAsia"/>
                <w:kern w:val="0"/>
                <w:szCs w:val="21"/>
              </w:rPr>
              <w:t>15.73</w:t>
            </w:r>
          </w:p>
        </w:tc>
        <w:tc>
          <w:tcPr>
            <w:tcW w:w="2220" w:type="dxa"/>
            <w:tcBorders>
              <w:top w:val="nil"/>
              <w:left w:val="nil"/>
              <w:bottom w:val="single" w:sz="4" w:space="0" w:color="auto"/>
              <w:right w:val="single" w:sz="4" w:space="0" w:color="auto"/>
            </w:tcBorders>
            <w:vAlign w:val="bottom"/>
            <w:hideMark/>
          </w:tcPr>
          <w:p w:rsidR="000F7217" w:rsidRDefault="00E0652A">
            <w:pPr>
              <w:widowControl/>
              <w:jc w:val="left"/>
              <w:rPr>
                <w:rFonts w:ascii="宋体" w:hAnsi="宋体" w:cs="宋体"/>
                <w:kern w:val="0"/>
                <w:szCs w:val="21"/>
              </w:rPr>
            </w:pPr>
            <w:r>
              <w:rPr>
                <w:rFonts w:ascii="宋体" w:hAnsi="宋体" w:cs="宋体" w:hint="eastAsia"/>
                <w:kern w:val="0"/>
                <w:szCs w:val="21"/>
              </w:rPr>
              <w:t>15.73</w:t>
            </w:r>
          </w:p>
        </w:tc>
      </w:tr>
      <w:tr w:rsidR="000F7217" w:rsidTr="000F7217">
        <w:trPr>
          <w:trHeight w:val="397"/>
        </w:trPr>
        <w:tc>
          <w:tcPr>
            <w:tcW w:w="4379" w:type="dxa"/>
            <w:tcBorders>
              <w:top w:val="nil"/>
              <w:left w:val="single" w:sz="4" w:space="0" w:color="auto"/>
              <w:bottom w:val="single" w:sz="4" w:space="0" w:color="auto"/>
              <w:right w:val="single" w:sz="4" w:space="0" w:color="auto"/>
            </w:tcBorders>
            <w:vAlign w:val="center"/>
            <w:hideMark/>
          </w:tcPr>
          <w:p w:rsidR="000F7217" w:rsidRDefault="000F7217">
            <w:pPr>
              <w:widowControl/>
              <w:jc w:val="left"/>
              <w:rPr>
                <w:rFonts w:ascii="宋体" w:hAnsi="宋体" w:cs="宋体"/>
                <w:kern w:val="0"/>
                <w:szCs w:val="21"/>
              </w:rPr>
            </w:pPr>
            <w:r>
              <w:rPr>
                <w:rFonts w:ascii="宋体" w:hAnsi="宋体" w:cs="宋体" w:hint="eastAsia"/>
                <w:kern w:val="0"/>
                <w:szCs w:val="21"/>
              </w:rPr>
              <w:t>公务用车购置及运行维护费</w:t>
            </w:r>
          </w:p>
        </w:tc>
        <w:tc>
          <w:tcPr>
            <w:tcW w:w="2157" w:type="dxa"/>
            <w:tcBorders>
              <w:top w:val="nil"/>
              <w:left w:val="nil"/>
              <w:bottom w:val="single" w:sz="4" w:space="0" w:color="auto"/>
              <w:right w:val="single" w:sz="4" w:space="0" w:color="auto"/>
            </w:tcBorders>
            <w:vAlign w:val="bottom"/>
            <w:hideMark/>
          </w:tcPr>
          <w:p w:rsidR="000F7217" w:rsidRDefault="008E4DFC">
            <w:pPr>
              <w:widowControl/>
              <w:jc w:val="left"/>
              <w:rPr>
                <w:rFonts w:ascii="宋体" w:hAnsi="宋体" w:cs="宋体"/>
                <w:kern w:val="0"/>
                <w:szCs w:val="21"/>
              </w:rPr>
            </w:pPr>
            <w:r>
              <w:rPr>
                <w:rFonts w:ascii="宋体" w:hAnsi="宋体" w:cs="宋体" w:hint="eastAsia"/>
                <w:kern w:val="0"/>
                <w:szCs w:val="21"/>
              </w:rPr>
              <w:t>2.02</w:t>
            </w:r>
          </w:p>
        </w:tc>
        <w:tc>
          <w:tcPr>
            <w:tcW w:w="2220" w:type="dxa"/>
            <w:tcBorders>
              <w:top w:val="nil"/>
              <w:left w:val="nil"/>
              <w:bottom w:val="single" w:sz="4" w:space="0" w:color="auto"/>
              <w:right w:val="single" w:sz="4" w:space="0" w:color="auto"/>
            </w:tcBorders>
            <w:vAlign w:val="bottom"/>
            <w:hideMark/>
          </w:tcPr>
          <w:p w:rsidR="000F7217" w:rsidRDefault="00F100CB">
            <w:pPr>
              <w:widowControl/>
              <w:jc w:val="left"/>
              <w:rPr>
                <w:rFonts w:ascii="宋体" w:hAnsi="宋体" w:cs="宋体"/>
                <w:kern w:val="0"/>
                <w:szCs w:val="21"/>
              </w:rPr>
            </w:pPr>
            <w:r>
              <w:rPr>
                <w:rFonts w:ascii="宋体" w:hAnsi="宋体" w:cs="宋体" w:hint="eastAsia"/>
                <w:kern w:val="0"/>
                <w:szCs w:val="21"/>
              </w:rPr>
              <w:t>2.02</w:t>
            </w:r>
          </w:p>
        </w:tc>
      </w:tr>
      <w:tr w:rsidR="000F7217" w:rsidTr="000F7217">
        <w:trPr>
          <w:trHeight w:val="397"/>
        </w:trPr>
        <w:tc>
          <w:tcPr>
            <w:tcW w:w="4379" w:type="dxa"/>
            <w:tcBorders>
              <w:top w:val="nil"/>
              <w:left w:val="single" w:sz="4" w:space="0" w:color="auto"/>
              <w:bottom w:val="single" w:sz="4" w:space="0" w:color="auto"/>
              <w:right w:val="single" w:sz="4" w:space="0" w:color="auto"/>
            </w:tcBorders>
            <w:vAlign w:val="center"/>
            <w:hideMark/>
          </w:tcPr>
          <w:p w:rsidR="000F7217" w:rsidRDefault="000F7217">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其中：公务用车购置费</w:t>
            </w:r>
          </w:p>
        </w:tc>
        <w:tc>
          <w:tcPr>
            <w:tcW w:w="2157" w:type="dxa"/>
            <w:tcBorders>
              <w:top w:val="nil"/>
              <w:left w:val="nil"/>
              <w:bottom w:val="single" w:sz="4" w:space="0" w:color="auto"/>
              <w:right w:val="single" w:sz="4" w:space="0" w:color="auto"/>
            </w:tcBorders>
            <w:vAlign w:val="bottom"/>
            <w:hideMark/>
          </w:tcPr>
          <w:p w:rsidR="000F7217" w:rsidRDefault="00BD65A0">
            <w:pPr>
              <w:widowControl/>
              <w:jc w:val="left"/>
              <w:rPr>
                <w:rFonts w:ascii="宋体" w:hAnsi="宋体" w:cs="宋体"/>
                <w:kern w:val="0"/>
                <w:szCs w:val="21"/>
              </w:rPr>
            </w:pPr>
            <w:r>
              <w:rPr>
                <w:rFonts w:ascii="宋体" w:hAnsi="宋体" w:cs="宋体" w:hint="eastAsia"/>
                <w:kern w:val="0"/>
                <w:szCs w:val="21"/>
              </w:rPr>
              <w:t>0</w:t>
            </w:r>
          </w:p>
        </w:tc>
        <w:tc>
          <w:tcPr>
            <w:tcW w:w="2220" w:type="dxa"/>
            <w:tcBorders>
              <w:top w:val="nil"/>
              <w:left w:val="nil"/>
              <w:bottom w:val="single" w:sz="4" w:space="0" w:color="auto"/>
              <w:right w:val="single" w:sz="4" w:space="0" w:color="auto"/>
            </w:tcBorders>
            <w:vAlign w:val="bottom"/>
            <w:hideMark/>
          </w:tcPr>
          <w:p w:rsidR="000F7217" w:rsidRDefault="00BD65A0">
            <w:pPr>
              <w:widowControl/>
              <w:jc w:val="left"/>
              <w:rPr>
                <w:rFonts w:ascii="宋体" w:hAnsi="宋体" w:cs="宋体"/>
                <w:kern w:val="0"/>
                <w:szCs w:val="21"/>
              </w:rPr>
            </w:pPr>
            <w:r>
              <w:rPr>
                <w:rFonts w:ascii="宋体" w:hAnsi="宋体" w:cs="宋体" w:hint="eastAsia"/>
                <w:kern w:val="0"/>
                <w:szCs w:val="21"/>
              </w:rPr>
              <w:t>0</w:t>
            </w:r>
          </w:p>
        </w:tc>
      </w:tr>
      <w:tr w:rsidR="000F7217" w:rsidTr="000F7217">
        <w:trPr>
          <w:trHeight w:val="397"/>
        </w:trPr>
        <w:tc>
          <w:tcPr>
            <w:tcW w:w="4379" w:type="dxa"/>
            <w:tcBorders>
              <w:top w:val="nil"/>
              <w:left w:val="single" w:sz="4" w:space="0" w:color="auto"/>
              <w:bottom w:val="single" w:sz="4" w:space="0" w:color="auto"/>
              <w:right w:val="single" w:sz="4" w:space="0" w:color="auto"/>
            </w:tcBorders>
            <w:vAlign w:val="center"/>
            <w:hideMark/>
          </w:tcPr>
          <w:p w:rsidR="000F7217" w:rsidRDefault="000F7217">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公务用车运行维护费</w:t>
            </w:r>
          </w:p>
        </w:tc>
        <w:tc>
          <w:tcPr>
            <w:tcW w:w="2157" w:type="dxa"/>
            <w:tcBorders>
              <w:top w:val="nil"/>
              <w:left w:val="nil"/>
              <w:bottom w:val="single" w:sz="4" w:space="0" w:color="auto"/>
              <w:right w:val="single" w:sz="4" w:space="0" w:color="auto"/>
            </w:tcBorders>
            <w:vAlign w:val="bottom"/>
            <w:hideMark/>
          </w:tcPr>
          <w:p w:rsidR="000F7217" w:rsidRDefault="008E4DFC">
            <w:pPr>
              <w:widowControl/>
              <w:jc w:val="left"/>
              <w:rPr>
                <w:rFonts w:ascii="宋体" w:hAnsi="宋体" w:cs="宋体"/>
                <w:kern w:val="0"/>
                <w:szCs w:val="21"/>
              </w:rPr>
            </w:pPr>
            <w:r>
              <w:rPr>
                <w:rFonts w:ascii="宋体" w:hAnsi="宋体" w:cs="宋体" w:hint="eastAsia"/>
                <w:kern w:val="0"/>
                <w:szCs w:val="21"/>
              </w:rPr>
              <w:t>2.02</w:t>
            </w:r>
          </w:p>
        </w:tc>
        <w:tc>
          <w:tcPr>
            <w:tcW w:w="2220" w:type="dxa"/>
            <w:tcBorders>
              <w:top w:val="nil"/>
              <w:left w:val="nil"/>
              <w:bottom w:val="single" w:sz="4" w:space="0" w:color="auto"/>
              <w:right w:val="single" w:sz="4" w:space="0" w:color="auto"/>
            </w:tcBorders>
            <w:vAlign w:val="bottom"/>
            <w:hideMark/>
          </w:tcPr>
          <w:p w:rsidR="000F7217" w:rsidRDefault="00E0652A">
            <w:pPr>
              <w:widowControl/>
              <w:jc w:val="left"/>
              <w:rPr>
                <w:rFonts w:ascii="宋体" w:hAnsi="宋体" w:cs="宋体"/>
                <w:kern w:val="0"/>
                <w:szCs w:val="21"/>
              </w:rPr>
            </w:pPr>
            <w:r>
              <w:rPr>
                <w:rFonts w:ascii="宋体" w:hAnsi="宋体" w:cs="宋体" w:hint="eastAsia"/>
                <w:kern w:val="0"/>
                <w:szCs w:val="21"/>
              </w:rPr>
              <w:t>2.02</w:t>
            </w:r>
          </w:p>
        </w:tc>
      </w:tr>
    </w:tbl>
    <w:p w:rsidR="000F7217" w:rsidRDefault="000F7217" w:rsidP="000F7217">
      <w:pPr>
        <w:spacing w:line="300" w:lineRule="exact"/>
        <w:rPr>
          <w:rFonts w:ascii="仿宋_GB2312" w:hAnsi="仿宋" w:hint="eastAsia"/>
          <w:sz w:val="21"/>
          <w:szCs w:val="21"/>
        </w:rPr>
      </w:pPr>
    </w:p>
    <w:p w:rsidR="000F7217" w:rsidRDefault="000F7217" w:rsidP="000F7217">
      <w:pPr>
        <w:spacing w:line="300" w:lineRule="exact"/>
        <w:rPr>
          <w:rFonts w:ascii="黑体" w:eastAsia="黑体" w:hAnsi="黑体" w:hint="eastAsia"/>
          <w:szCs w:val="32"/>
        </w:rPr>
      </w:pPr>
      <w:r>
        <w:rPr>
          <w:rFonts w:ascii="仿宋_GB2312" w:hAnsi="仿宋" w:hint="eastAsia"/>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ascii="仿宋_GB2312" w:hAnsi="仿宋" w:hint="eastAsia"/>
          <w:szCs w:val="32"/>
        </w:rPr>
        <w:t xml:space="preserve"> </w:t>
      </w:r>
      <w:r>
        <w:rPr>
          <w:rFonts w:ascii="黑体" w:eastAsia="黑体" w:hAnsi="黑体" w:hint="eastAsia"/>
          <w:szCs w:val="32"/>
        </w:rPr>
        <w:t xml:space="preserve">                                      </w:t>
      </w:r>
    </w:p>
    <w:p w:rsidR="000F7217" w:rsidRDefault="000F7217" w:rsidP="000F7217">
      <w:pPr>
        <w:rPr>
          <w:rFonts w:ascii="黑体" w:eastAsia="黑体" w:hAnsi="黑体" w:hint="eastAsia"/>
          <w:szCs w:val="32"/>
        </w:rPr>
      </w:pPr>
      <w:r>
        <w:rPr>
          <w:rFonts w:ascii="黑体" w:eastAsia="黑体" w:hAnsi="黑体" w:hint="eastAsia"/>
          <w:szCs w:val="32"/>
        </w:rPr>
        <w:t xml:space="preserve">    二、2023年度一般公共预算财政拨款“三公”经费支出情况说明</w:t>
      </w:r>
    </w:p>
    <w:p w:rsidR="000F7217" w:rsidRDefault="000F7217" w:rsidP="000F7217">
      <w:pPr>
        <w:ind w:firstLineChars="200" w:firstLine="643"/>
        <w:rPr>
          <w:rFonts w:ascii="仿宋_GB2312" w:hAnsi="仿宋" w:hint="eastAsia"/>
          <w:b/>
          <w:szCs w:val="32"/>
        </w:rPr>
      </w:pPr>
      <w:r>
        <w:rPr>
          <w:rFonts w:ascii="仿宋_GB2312" w:hAnsi="仿宋" w:hint="eastAsia"/>
          <w:b/>
          <w:szCs w:val="32"/>
        </w:rPr>
        <w:t>（一）一般公共预算财政拨款“三公”经费支出决算总体情况说明。</w:t>
      </w:r>
    </w:p>
    <w:p w:rsidR="000F7217" w:rsidRDefault="000F7217" w:rsidP="000F7217">
      <w:pPr>
        <w:ind w:firstLineChars="200" w:firstLine="640"/>
        <w:rPr>
          <w:rFonts w:ascii="楷体_GB2312" w:eastAsia="楷体_GB2312" w:hAnsi="仿宋" w:hint="eastAsia"/>
          <w:szCs w:val="32"/>
        </w:rPr>
      </w:pPr>
      <w:r>
        <w:rPr>
          <w:rFonts w:ascii="仿宋_GB2312" w:hAnsi="仿宋" w:hint="eastAsia"/>
          <w:szCs w:val="32"/>
        </w:rPr>
        <w:t>黟县</w:t>
      </w:r>
      <w:r w:rsidR="00F100CB">
        <w:rPr>
          <w:rFonts w:ascii="仿宋_GB2312" w:hAnsi="仿宋" w:hint="eastAsia"/>
          <w:szCs w:val="32"/>
        </w:rPr>
        <w:t>发展和改革委员会</w:t>
      </w:r>
      <w:r>
        <w:rPr>
          <w:rFonts w:ascii="仿宋_GB2312" w:hAnsi="仿宋" w:hint="eastAsia"/>
          <w:szCs w:val="32"/>
        </w:rPr>
        <w:t>2023年度一般公共预算财政拨款“三公”经费支出预算为</w:t>
      </w:r>
      <w:r w:rsidR="0072105E">
        <w:rPr>
          <w:rFonts w:ascii="仿宋_GB2312" w:hAnsi="仿宋" w:hint="eastAsia"/>
          <w:szCs w:val="32"/>
        </w:rPr>
        <w:t>1</w:t>
      </w:r>
      <w:r w:rsidR="00BD65A0">
        <w:rPr>
          <w:rFonts w:ascii="仿宋_GB2312" w:hAnsi="仿宋" w:hint="eastAsia"/>
          <w:szCs w:val="32"/>
        </w:rPr>
        <w:t>7.75</w:t>
      </w:r>
      <w:r>
        <w:rPr>
          <w:rFonts w:ascii="仿宋_GB2312" w:hAnsi="仿宋" w:hint="eastAsia"/>
          <w:szCs w:val="32"/>
        </w:rPr>
        <w:t>万元，支出决算为</w:t>
      </w:r>
      <w:r w:rsidR="0072105E">
        <w:rPr>
          <w:rFonts w:ascii="仿宋_GB2312" w:hAnsi="仿宋" w:hint="eastAsia"/>
          <w:szCs w:val="32"/>
        </w:rPr>
        <w:t>17.75</w:t>
      </w:r>
      <w:r>
        <w:rPr>
          <w:rFonts w:ascii="仿宋_GB2312" w:hAnsi="仿宋" w:hint="eastAsia"/>
          <w:szCs w:val="32"/>
        </w:rPr>
        <w:t>万元，完成预算的</w:t>
      </w:r>
      <w:r w:rsidR="0072105E">
        <w:rPr>
          <w:rFonts w:ascii="仿宋_GB2312" w:hAnsi="仿宋" w:hint="eastAsia"/>
          <w:szCs w:val="32"/>
        </w:rPr>
        <w:t>10</w:t>
      </w:r>
      <w:r w:rsidR="00BD65A0">
        <w:rPr>
          <w:rFonts w:ascii="仿宋_GB2312" w:hAnsi="仿宋" w:hint="eastAsia"/>
          <w:szCs w:val="32"/>
        </w:rPr>
        <w:t>0</w:t>
      </w:r>
      <w:r>
        <w:rPr>
          <w:rFonts w:ascii="仿宋_GB2312" w:hAnsi="仿宋" w:hint="eastAsia"/>
          <w:szCs w:val="32"/>
        </w:rPr>
        <w:t>%</w:t>
      </w:r>
      <w:r w:rsidR="00BD65A0">
        <w:rPr>
          <w:rFonts w:ascii="仿宋_GB2312" w:hAnsi="仿宋" w:hint="eastAsia"/>
          <w:szCs w:val="32"/>
        </w:rPr>
        <w:t>，</w:t>
      </w:r>
      <w:r w:rsidR="002900CD">
        <w:rPr>
          <w:rFonts w:ascii="仿宋_GB2312" w:hAnsi="仿宋" w:hint="eastAsia"/>
          <w:szCs w:val="32"/>
        </w:rPr>
        <w:t>较上年</w:t>
      </w:r>
      <w:r w:rsidR="002900CD">
        <w:rPr>
          <w:rFonts w:ascii="仿宋_GB2312" w:hAnsi="仿宋" w:hint="eastAsia"/>
          <w:szCs w:val="32"/>
        </w:rPr>
        <w:t>增加</w:t>
      </w:r>
      <w:r w:rsidR="002900CD">
        <w:rPr>
          <w:rFonts w:ascii="仿宋_GB2312" w:hAnsi="仿宋" w:hint="eastAsia"/>
          <w:szCs w:val="32"/>
        </w:rPr>
        <w:t>3.33</w:t>
      </w:r>
      <w:r w:rsidR="002900CD">
        <w:rPr>
          <w:rFonts w:ascii="仿宋_GB2312" w:hAnsi="仿宋" w:hint="eastAsia"/>
          <w:szCs w:val="32"/>
        </w:rPr>
        <w:t>万元，</w:t>
      </w:r>
      <w:r w:rsidR="002900CD">
        <w:rPr>
          <w:rFonts w:ascii="仿宋_GB2312" w:hAnsi="仿宋" w:hint="eastAsia"/>
          <w:szCs w:val="32"/>
        </w:rPr>
        <w:t>预算数与</w:t>
      </w:r>
      <w:r w:rsidR="002900CD">
        <w:rPr>
          <w:rFonts w:ascii="仿宋_GB2312" w:hAnsi="仿宋" w:hint="eastAsia"/>
          <w:szCs w:val="32"/>
        </w:rPr>
        <w:lastRenderedPageBreak/>
        <w:t>决算数持平。</w:t>
      </w:r>
      <w:r>
        <w:rPr>
          <w:rFonts w:ascii="仿宋_GB2312" w:hAnsi="仿宋" w:hint="eastAsia"/>
          <w:szCs w:val="32"/>
        </w:rPr>
        <w:t>决算数较上年增加的主要原因是</w:t>
      </w:r>
      <w:r w:rsidR="002900CD">
        <w:rPr>
          <w:rFonts w:ascii="仿宋_GB2312" w:hAnsi="仿宋" w:hint="eastAsia"/>
          <w:szCs w:val="32"/>
        </w:rPr>
        <w:t>部门工作职能的增加，以及公务车辆增加1辆所致</w:t>
      </w:r>
      <w:r>
        <w:rPr>
          <w:rFonts w:ascii="仿宋_GB2312" w:hAnsi="仿宋" w:hint="eastAsia"/>
          <w:szCs w:val="32"/>
        </w:rPr>
        <w:t>。</w:t>
      </w:r>
    </w:p>
    <w:p w:rsidR="000F7217" w:rsidRDefault="000F7217" w:rsidP="000F7217">
      <w:pPr>
        <w:ind w:firstLineChars="200" w:firstLine="643"/>
        <w:rPr>
          <w:rFonts w:ascii="仿宋_GB2312" w:hAnsi="仿宋" w:hint="eastAsia"/>
          <w:b/>
          <w:szCs w:val="32"/>
        </w:rPr>
      </w:pPr>
      <w:r>
        <w:rPr>
          <w:rFonts w:ascii="仿宋_GB2312" w:hAnsi="仿宋" w:hint="eastAsia"/>
          <w:b/>
          <w:bCs/>
          <w:szCs w:val="32"/>
        </w:rPr>
        <w:t>（二）</w:t>
      </w:r>
      <w:r>
        <w:rPr>
          <w:rFonts w:ascii="仿宋_GB2312" w:hAnsi="仿宋" w:hint="eastAsia"/>
          <w:b/>
          <w:szCs w:val="32"/>
        </w:rPr>
        <w:t>一般公共预算财政拨款“三公”经费支出决算具体情况说明。</w:t>
      </w:r>
    </w:p>
    <w:p w:rsidR="000F7217" w:rsidRDefault="000F7217" w:rsidP="000F7217">
      <w:pPr>
        <w:ind w:firstLineChars="200" w:firstLine="640"/>
        <w:rPr>
          <w:rFonts w:ascii="仿宋_GB2312" w:hAnsi="仿宋" w:hint="eastAsia"/>
          <w:szCs w:val="32"/>
        </w:rPr>
      </w:pPr>
      <w:r>
        <w:rPr>
          <w:rFonts w:ascii="仿宋_GB2312" w:hAnsi="仿宋" w:hint="eastAsia"/>
          <w:szCs w:val="32"/>
        </w:rPr>
        <w:t>黟县</w:t>
      </w:r>
      <w:r w:rsidR="002900CD">
        <w:rPr>
          <w:rFonts w:ascii="仿宋_GB2312" w:hAnsi="仿宋" w:hint="eastAsia"/>
          <w:szCs w:val="32"/>
        </w:rPr>
        <w:t>发展和改革委员会</w:t>
      </w:r>
      <w:r>
        <w:rPr>
          <w:rFonts w:ascii="仿宋_GB2312" w:hAnsi="仿宋" w:hint="eastAsia"/>
          <w:szCs w:val="32"/>
        </w:rPr>
        <w:t>2023年度一般公共预算财政拨款“三公”经费支出决算中，因公出国（境）费支出决算</w:t>
      </w:r>
      <w:r w:rsidR="002900CD">
        <w:rPr>
          <w:rFonts w:ascii="仿宋_GB2312" w:hAnsi="仿宋" w:hint="eastAsia"/>
          <w:szCs w:val="32"/>
        </w:rPr>
        <w:t>0万元</w:t>
      </w:r>
      <w:r>
        <w:rPr>
          <w:rFonts w:ascii="仿宋_GB2312" w:hAnsi="仿宋" w:hint="eastAsia"/>
          <w:szCs w:val="32"/>
        </w:rPr>
        <w:t>;公务接待费支出决算</w:t>
      </w:r>
      <w:r w:rsidR="002900CD">
        <w:rPr>
          <w:rFonts w:ascii="仿宋_GB2312" w:hAnsi="仿宋" w:hint="eastAsia"/>
          <w:szCs w:val="32"/>
        </w:rPr>
        <w:t>15.73</w:t>
      </w:r>
      <w:r>
        <w:rPr>
          <w:rFonts w:ascii="仿宋_GB2312" w:hAnsi="仿宋" w:hint="eastAsia"/>
          <w:szCs w:val="32"/>
        </w:rPr>
        <w:t>万元，占</w:t>
      </w:r>
      <w:r w:rsidR="0014457B">
        <w:rPr>
          <w:rFonts w:ascii="仿宋_GB2312" w:hAnsi="仿宋" w:hint="eastAsia"/>
          <w:szCs w:val="32"/>
        </w:rPr>
        <w:t>88.62</w:t>
      </w:r>
      <w:r>
        <w:rPr>
          <w:rFonts w:ascii="仿宋_GB2312" w:hAnsi="仿宋" w:hint="eastAsia"/>
          <w:szCs w:val="32"/>
        </w:rPr>
        <w:t>%；公务用车购置及运行维护费支出决算</w:t>
      </w:r>
      <w:r w:rsidR="0014457B">
        <w:rPr>
          <w:rFonts w:ascii="仿宋_GB2312" w:hAnsi="仿宋" w:hint="eastAsia"/>
          <w:szCs w:val="32"/>
        </w:rPr>
        <w:t>2.02</w:t>
      </w:r>
      <w:r>
        <w:rPr>
          <w:rFonts w:ascii="仿宋_GB2312" w:hAnsi="仿宋" w:hint="eastAsia"/>
          <w:szCs w:val="32"/>
        </w:rPr>
        <w:t>万元，占</w:t>
      </w:r>
      <w:r w:rsidR="0014457B">
        <w:rPr>
          <w:rFonts w:ascii="仿宋_GB2312" w:hAnsi="仿宋" w:hint="eastAsia"/>
          <w:szCs w:val="32"/>
        </w:rPr>
        <w:t>11.38</w:t>
      </w:r>
      <w:r>
        <w:rPr>
          <w:rFonts w:ascii="仿宋_GB2312" w:hAnsi="仿宋" w:hint="eastAsia"/>
          <w:szCs w:val="32"/>
        </w:rPr>
        <w:t>%。具体情况如下：</w:t>
      </w:r>
    </w:p>
    <w:p w:rsidR="0014457B" w:rsidRPr="0056621A" w:rsidRDefault="000F7217" w:rsidP="0014457B">
      <w:pPr>
        <w:spacing w:line="560" w:lineRule="exact"/>
        <w:ind w:firstLine="628"/>
        <w:rPr>
          <w:rFonts w:ascii="仿宋_GB2312" w:hAnsi="仿宋" w:hint="eastAsia"/>
          <w:color w:val="000000"/>
          <w:szCs w:val="32"/>
        </w:rPr>
      </w:pPr>
      <w:r>
        <w:rPr>
          <w:rFonts w:ascii="仿宋_GB2312" w:hAnsi="仿宋" w:hint="eastAsia"/>
          <w:b/>
          <w:bCs/>
          <w:szCs w:val="32"/>
        </w:rPr>
        <w:t>1.因公出国（境）费</w:t>
      </w:r>
      <w:r>
        <w:rPr>
          <w:rFonts w:ascii="仿宋_GB2312" w:hAnsi="仿宋" w:hint="eastAsia"/>
          <w:szCs w:val="32"/>
        </w:rPr>
        <w:t>预算为</w:t>
      </w:r>
      <w:r w:rsidR="0014457B">
        <w:rPr>
          <w:rFonts w:ascii="仿宋_GB2312" w:hAnsi="仿宋" w:hint="eastAsia"/>
          <w:szCs w:val="32"/>
        </w:rPr>
        <w:t>0</w:t>
      </w:r>
      <w:r>
        <w:rPr>
          <w:rFonts w:ascii="仿宋_GB2312" w:hAnsi="仿宋" w:hint="eastAsia"/>
          <w:szCs w:val="32"/>
        </w:rPr>
        <w:t>万元，支出决算为</w:t>
      </w:r>
      <w:r w:rsidR="0014457B">
        <w:rPr>
          <w:rFonts w:ascii="仿宋_GB2312" w:hAnsi="仿宋" w:hint="eastAsia"/>
          <w:szCs w:val="32"/>
        </w:rPr>
        <w:t>0</w:t>
      </w:r>
      <w:r>
        <w:rPr>
          <w:rFonts w:ascii="仿宋_GB2312" w:hAnsi="仿宋" w:hint="eastAsia"/>
          <w:szCs w:val="32"/>
        </w:rPr>
        <w:t>万元，</w:t>
      </w:r>
      <w:r w:rsidR="0014457B" w:rsidRPr="0056621A">
        <w:rPr>
          <w:rFonts w:ascii="仿宋_GB2312" w:hAnsi="仿宋" w:hint="eastAsia"/>
          <w:color w:val="000000"/>
          <w:szCs w:val="32"/>
        </w:rPr>
        <w:t>与2022年度预算相比，无增减。</w:t>
      </w:r>
    </w:p>
    <w:p w:rsidR="000F7217" w:rsidRDefault="000F7217" w:rsidP="00DE14ED">
      <w:pPr>
        <w:spacing w:line="560" w:lineRule="exact"/>
        <w:ind w:firstLineChars="200" w:firstLine="643"/>
        <w:rPr>
          <w:rFonts w:ascii="仿宋_GB2312" w:hAnsi="仿宋" w:hint="eastAsia"/>
          <w:szCs w:val="32"/>
        </w:rPr>
      </w:pPr>
      <w:r>
        <w:rPr>
          <w:rFonts w:ascii="仿宋_GB2312" w:hAnsi="仿宋" w:hint="eastAsia"/>
          <w:b/>
          <w:bCs/>
          <w:szCs w:val="32"/>
        </w:rPr>
        <w:t>2.公务接待费</w:t>
      </w:r>
      <w:r>
        <w:rPr>
          <w:rFonts w:ascii="仿宋_GB2312" w:hAnsi="仿宋" w:hint="eastAsia"/>
          <w:szCs w:val="32"/>
        </w:rPr>
        <w:t>预算为</w:t>
      </w:r>
      <w:r w:rsidR="0014457B">
        <w:rPr>
          <w:rFonts w:ascii="仿宋_GB2312" w:hAnsi="仿宋" w:hint="eastAsia"/>
          <w:szCs w:val="32"/>
        </w:rPr>
        <w:t>15.73</w:t>
      </w:r>
      <w:r>
        <w:rPr>
          <w:rFonts w:ascii="仿宋_GB2312" w:hAnsi="仿宋" w:hint="eastAsia"/>
          <w:szCs w:val="32"/>
        </w:rPr>
        <w:t>万元，支出决算为</w:t>
      </w:r>
      <w:r w:rsidR="0014457B">
        <w:rPr>
          <w:rFonts w:ascii="仿宋_GB2312" w:hAnsi="仿宋" w:hint="eastAsia"/>
          <w:szCs w:val="32"/>
        </w:rPr>
        <w:t>15.73</w:t>
      </w:r>
      <w:r>
        <w:rPr>
          <w:rFonts w:ascii="仿宋_GB2312" w:hAnsi="仿宋" w:hint="eastAsia"/>
          <w:szCs w:val="32"/>
        </w:rPr>
        <w:t>万元，完成预算的</w:t>
      </w:r>
      <w:r w:rsidR="0014457B">
        <w:rPr>
          <w:rFonts w:ascii="仿宋_GB2312" w:hAnsi="仿宋" w:hint="eastAsia"/>
          <w:szCs w:val="32"/>
        </w:rPr>
        <w:t>100</w:t>
      </w:r>
      <w:r>
        <w:rPr>
          <w:rFonts w:ascii="仿宋_GB2312" w:hAnsi="仿宋" w:hint="eastAsia"/>
          <w:szCs w:val="32"/>
        </w:rPr>
        <w:t>%；较上年</w:t>
      </w:r>
      <w:r w:rsidR="00E832F1">
        <w:rPr>
          <w:rFonts w:ascii="仿宋_GB2312" w:hAnsi="仿宋" w:hint="eastAsia"/>
          <w:szCs w:val="32"/>
        </w:rPr>
        <w:t>增加</w:t>
      </w:r>
      <w:r w:rsidR="0014457B">
        <w:rPr>
          <w:rFonts w:ascii="仿宋_GB2312" w:hAnsi="仿宋" w:hint="eastAsia"/>
          <w:szCs w:val="32"/>
        </w:rPr>
        <w:t>2.04万元，增长14.9</w:t>
      </w:r>
      <w:r>
        <w:rPr>
          <w:rFonts w:ascii="仿宋_GB2312" w:hAnsi="仿宋" w:hint="eastAsia"/>
          <w:szCs w:val="32"/>
        </w:rPr>
        <w:t>%。决算数</w:t>
      </w:r>
      <w:r w:rsidR="0014457B">
        <w:rPr>
          <w:rFonts w:ascii="仿宋_GB2312" w:hAnsi="仿宋" w:hint="eastAsia"/>
          <w:szCs w:val="32"/>
        </w:rPr>
        <w:t>与</w:t>
      </w:r>
      <w:r>
        <w:rPr>
          <w:rFonts w:ascii="仿宋_GB2312" w:hAnsi="仿宋" w:hint="eastAsia"/>
          <w:szCs w:val="32"/>
        </w:rPr>
        <w:t>预算数</w:t>
      </w:r>
      <w:r w:rsidR="0014457B">
        <w:rPr>
          <w:rFonts w:ascii="仿宋_GB2312" w:hAnsi="仿宋" w:hint="eastAsia"/>
          <w:szCs w:val="32"/>
        </w:rPr>
        <w:t>持平</w:t>
      </w:r>
      <w:r>
        <w:rPr>
          <w:rFonts w:ascii="仿宋_GB2312" w:hAnsi="仿宋" w:hint="eastAsia"/>
          <w:szCs w:val="32"/>
        </w:rPr>
        <w:t>。决算数较上年</w:t>
      </w:r>
      <w:r w:rsidR="00FB5EE2">
        <w:rPr>
          <w:rFonts w:ascii="仿宋_GB2312" w:hAnsi="仿宋" w:hint="eastAsia"/>
          <w:szCs w:val="32"/>
        </w:rPr>
        <w:t>增加的主要原因部门职能增加</w:t>
      </w:r>
      <w:r w:rsidR="00DE14ED">
        <w:rPr>
          <w:rFonts w:ascii="仿宋_GB2312" w:hAnsi="仿宋" w:hint="eastAsia"/>
          <w:szCs w:val="32"/>
        </w:rPr>
        <w:t>，</w:t>
      </w:r>
      <w:r w:rsidR="00EA6536">
        <w:rPr>
          <w:rFonts w:ascii="仿宋_GB2312" w:hAnsi="仿宋" w:hint="eastAsia"/>
          <w:szCs w:val="32"/>
        </w:rPr>
        <w:t>导致</w:t>
      </w:r>
      <w:bookmarkStart w:id="0" w:name="_GoBack"/>
      <w:bookmarkEnd w:id="0"/>
      <w:r w:rsidR="00DE14ED">
        <w:rPr>
          <w:rFonts w:ascii="仿宋_GB2312" w:hAnsi="仿宋" w:hint="eastAsia"/>
          <w:szCs w:val="32"/>
        </w:rPr>
        <w:t>公务接待次数增加</w:t>
      </w:r>
      <w:r>
        <w:rPr>
          <w:rFonts w:ascii="仿宋_GB2312" w:hAnsi="仿宋" w:hint="eastAsia"/>
          <w:szCs w:val="32"/>
        </w:rPr>
        <w:t>。2023年黟县</w:t>
      </w:r>
      <w:r w:rsidR="00DE14ED">
        <w:rPr>
          <w:rFonts w:ascii="仿宋_GB2312" w:hAnsi="仿宋" w:hint="eastAsia"/>
          <w:szCs w:val="32"/>
        </w:rPr>
        <w:t>发展和改革委员会</w:t>
      </w:r>
      <w:r>
        <w:rPr>
          <w:rFonts w:ascii="仿宋_GB2312" w:hAnsi="仿宋" w:hint="eastAsia"/>
          <w:szCs w:val="32"/>
        </w:rPr>
        <w:t>国内公务接待共</w:t>
      </w:r>
      <w:r w:rsidR="00DE14ED">
        <w:rPr>
          <w:rFonts w:ascii="仿宋_GB2312" w:hAnsi="仿宋" w:hint="eastAsia"/>
          <w:szCs w:val="32"/>
        </w:rPr>
        <w:t>149</w:t>
      </w:r>
      <w:r>
        <w:rPr>
          <w:rFonts w:ascii="仿宋_GB2312" w:hAnsi="仿宋" w:hint="eastAsia"/>
          <w:szCs w:val="32"/>
        </w:rPr>
        <w:t>批次，</w:t>
      </w:r>
      <w:r w:rsidR="00DE14ED">
        <w:rPr>
          <w:rFonts w:ascii="仿宋_GB2312" w:hAnsi="仿宋" w:hint="eastAsia"/>
          <w:szCs w:val="32"/>
        </w:rPr>
        <w:t>1116</w:t>
      </w:r>
      <w:r>
        <w:rPr>
          <w:rFonts w:ascii="仿宋_GB2312" w:hAnsi="仿宋" w:hint="eastAsia"/>
          <w:szCs w:val="32"/>
        </w:rPr>
        <w:t>人次。</w:t>
      </w:r>
      <w:r w:rsidR="00DE14ED" w:rsidRPr="0056621A">
        <w:rPr>
          <w:rFonts w:ascii="仿宋_GB2312" w:hAnsi="仿宋" w:hint="eastAsia"/>
          <w:color w:val="000000"/>
          <w:szCs w:val="32"/>
        </w:rPr>
        <w:t>该费用主要是用于</w:t>
      </w:r>
      <w:r w:rsidR="00DE14ED" w:rsidRPr="0056621A">
        <w:rPr>
          <w:color w:val="000000"/>
        </w:rPr>
        <w:t>接待</w:t>
      </w:r>
      <w:r w:rsidR="00DE14ED" w:rsidRPr="0056621A">
        <w:rPr>
          <w:rFonts w:ascii="仿宋_GB2312" w:hint="eastAsia"/>
          <w:color w:val="000000"/>
          <w:szCs w:val="32"/>
        </w:rPr>
        <w:t>上级主管部门来我委指导、检查工作，</w:t>
      </w:r>
      <w:r w:rsidR="00DE14ED" w:rsidRPr="0056621A">
        <w:rPr>
          <w:rFonts w:hint="eastAsia"/>
          <w:color w:val="000000"/>
        </w:rPr>
        <w:t>其他</w:t>
      </w:r>
      <w:proofErr w:type="gramStart"/>
      <w:r w:rsidR="00DE14ED" w:rsidRPr="0056621A">
        <w:rPr>
          <w:rFonts w:hint="eastAsia"/>
          <w:color w:val="000000"/>
        </w:rPr>
        <w:t>区县发改相关</w:t>
      </w:r>
      <w:proofErr w:type="gramEnd"/>
      <w:r w:rsidR="00DE14ED" w:rsidRPr="0056621A">
        <w:rPr>
          <w:rFonts w:hint="eastAsia"/>
          <w:color w:val="000000"/>
        </w:rPr>
        <w:t>部门来我委工作交流</w:t>
      </w:r>
      <w:r w:rsidR="00DE14ED" w:rsidRPr="0056621A">
        <w:rPr>
          <w:color w:val="000000"/>
        </w:rPr>
        <w:t>等公务往来支出</w:t>
      </w:r>
      <w:r w:rsidR="00DE14ED" w:rsidRPr="0056621A">
        <w:rPr>
          <w:rFonts w:ascii="仿宋_GB2312" w:hint="eastAsia"/>
          <w:color w:val="000000"/>
          <w:szCs w:val="32"/>
        </w:rPr>
        <w:t>接待</w:t>
      </w:r>
      <w:r w:rsidR="00DE14ED" w:rsidRPr="0056621A">
        <w:rPr>
          <w:rFonts w:ascii="仿宋_GB2312" w:hAnsi="仿宋" w:hint="eastAsia"/>
          <w:color w:val="000000"/>
          <w:szCs w:val="32"/>
        </w:rPr>
        <w:t>。</w:t>
      </w:r>
      <w:r>
        <w:rPr>
          <w:rFonts w:ascii="仿宋_GB2312" w:hAnsi="仿宋" w:hint="eastAsia"/>
          <w:szCs w:val="32"/>
        </w:rPr>
        <w:t>经费使用贯彻中央八项规定精神，严格执行《党政机关厉行节约反对浪费条例》《黄山市党政机关国内公务接待管理细则》（</w:t>
      </w:r>
      <w:proofErr w:type="gramStart"/>
      <w:r>
        <w:rPr>
          <w:rFonts w:ascii="仿宋_GB2312" w:hAnsi="仿宋" w:hint="eastAsia"/>
          <w:szCs w:val="32"/>
        </w:rPr>
        <w:t>黄办〔2014〕</w:t>
      </w:r>
      <w:proofErr w:type="gramEnd"/>
      <w:r>
        <w:rPr>
          <w:rFonts w:ascii="仿宋_GB2312" w:hAnsi="仿宋" w:hint="eastAsia"/>
          <w:szCs w:val="32"/>
        </w:rPr>
        <w:t>21号）、《黄山市党政机关国内公务考察及公务接待管理暂行办法》（</w:t>
      </w:r>
      <w:proofErr w:type="gramStart"/>
      <w:r>
        <w:rPr>
          <w:rFonts w:ascii="仿宋_GB2312" w:hAnsi="仿宋" w:hint="eastAsia"/>
          <w:szCs w:val="32"/>
        </w:rPr>
        <w:t>黄办〔2013〕</w:t>
      </w:r>
      <w:proofErr w:type="gramEnd"/>
      <w:r>
        <w:rPr>
          <w:rFonts w:ascii="仿宋_GB2312" w:hAnsi="仿宋" w:hint="eastAsia"/>
          <w:szCs w:val="32"/>
        </w:rPr>
        <w:t>11号）、《黄山市市直机关外宾接待经费管理办法》（</w:t>
      </w:r>
      <w:proofErr w:type="gramStart"/>
      <w:r>
        <w:rPr>
          <w:rFonts w:ascii="仿宋_GB2312" w:hAnsi="仿宋" w:hint="eastAsia"/>
          <w:szCs w:val="32"/>
        </w:rPr>
        <w:t>黄财行〔2014〕</w:t>
      </w:r>
      <w:proofErr w:type="gramEnd"/>
      <w:r>
        <w:rPr>
          <w:rFonts w:ascii="仿宋_GB2312" w:hAnsi="仿宋" w:hint="eastAsia"/>
          <w:szCs w:val="32"/>
        </w:rPr>
        <w:t>317号）、《关于进一</w:t>
      </w:r>
      <w:r>
        <w:rPr>
          <w:rFonts w:ascii="仿宋_GB2312" w:hAnsi="仿宋" w:hint="eastAsia"/>
          <w:szCs w:val="32"/>
        </w:rPr>
        <w:lastRenderedPageBreak/>
        <w:t>步加强公务接待经费管理的通知》（</w:t>
      </w:r>
      <w:proofErr w:type="gramStart"/>
      <w:r>
        <w:rPr>
          <w:rFonts w:ascii="仿宋_GB2312" w:hAnsi="仿宋" w:hint="eastAsia"/>
          <w:szCs w:val="32"/>
        </w:rPr>
        <w:t>黄财行〔2015〕</w:t>
      </w:r>
      <w:proofErr w:type="gramEnd"/>
      <w:r>
        <w:rPr>
          <w:rFonts w:ascii="仿宋_GB2312" w:hAnsi="仿宋" w:hint="eastAsia"/>
          <w:szCs w:val="32"/>
        </w:rPr>
        <w:t>315号）等相关规定。</w:t>
      </w:r>
    </w:p>
    <w:p w:rsidR="00971986" w:rsidRPr="00036BD2" w:rsidRDefault="000F7217" w:rsidP="00971986">
      <w:pPr>
        <w:spacing w:line="560" w:lineRule="exact"/>
        <w:ind w:firstLineChars="200" w:firstLine="643"/>
        <w:rPr>
          <w:rFonts w:ascii="宋体" w:hAnsi="宋体" w:hint="eastAsia"/>
          <w:b/>
          <w:color w:val="000000"/>
          <w:sz w:val="36"/>
          <w:szCs w:val="36"/>
        </w:rPr>
      </w:pPr>
      <w:r>
        <w:rPr>
          <w:rFonts w:ascii="仿宋_GB2312" w:hAnsi="仿宋" w:hint="eastAsia"/>
          <w:b/>
          <w:bCs/>
          <w:szCs w:val="32"/>
        </w:rPr>
        <w:t>3.公务用车购置及运行维护费</w:t>
      </w:r>
      <w:r>
        <w:rPr>
          <w:rFonts w:ascii="仿宋_GB2312" w:hAnsi="仿宋" w:hint="eastAsia"/>
          <w:szCs w:val="32"/>
        </w:rPr>
        <w:t>预算为</w:t>
      </w:r>
      <w:r w:rsidR="00DE14ED">
        <w:rPr>
          <w:rFonts w:ascii="仿宋_GB2312" w:hAnsi="仿宋" w:hint="eastAsia"/>
          <w:szCs w:val="32"/>
        </w:rPr>
        <w:t>2.02</w:t>
      </w:r>
      <w:r>
        <w:rPr>
          <w:rFonts w:ascii="仿宋_GB2312" w:hAnsi="仿宋" w:hint="eastAsia"/>
          <w:szCs w:val="32"/>
        </w:rPr>
        <w:t>万元，支出决算为</w:t>
      </w:r>
      <w:r w:rsidR="00DE14ED">
        <w:rPr>
          <w:rFonts w:ascii="仿宋_GB2312" w:hAnsi="仿宋" w:hint="eastAsia"/>
          <w:szCs w:val="32"/>
        </w:rPr>
        <w:t>2.02</w:t>
      </w:r>
      <w:r>
        <w:rPr>
          <w:rFonts w:ascii="仿宋_GB2312" w:hAnsi="仿宋" w:hint="eastAsia"/>
          <w:szCs w:val="32"/>
        </w:rPr>
        <w:t>万元，完成预算的</w:t>
      </w:r>
      <w:r w:rsidR="00DE14ED">
        <w:rPr>
          <w:rFonts w:ascii="仿宋_GB2312" w:hAnsi="仿宋" w:hint="eastAsia"/>
          <w:szCs w:val="32"/>
        </w:rPr>
        <w:t>100</w:t>
      </w:r>
      <w:r>
        <w:rPr>
          <w:rFonts w:ascii="仿宋_GB2312" w:hAnsi="仿宋" w:hint="eastAsia"/>
          <w:szCs w:val="32"/>
        </w:rPr>
        <w:t>%</w:t>
      </w:r>
      <w:r w:rsidR="00DE14ED">
        <w:rPr>
          <w:rFonts w:ascii="仿宋_GB2312" w:hAnsi="仿宋" w:hint="eastAsia"/>
          <w:szCs w:val="32"/>
        </w:rPr>
        <w:t>；较上年</w:t>
      </w:r>
      <w:r>
        <w:rPr>
          <w:rFonts w:ascii="仿宋_GB2312" w:hAnsi="仿宋" w:hint="eastAsia"/>
          <w:szCs w:val="32"/>
        </w:rPr>
        <w:t>增加</w:t>
      </w:r>
      <w:r w:rsidR="00DE14ED">
        <w:rPr>
          <w:rFonts w:ascii="仿宋_GB2312" w:hAnsi="仿宋" w:hint="eastAsia"/>
          <w:szCs w:val="32"/>
        </w:rPr>
        <w:t>1.29</w:t>
      </w:r>
      <w:r>
        <w:rPr>
          <w:rFonts w:ascii="仿宋_GB2312" w:hAnsi="仿宋" w:hint="eastAsia"/>
          <w:szCs w:val="32"/>
        </w:rPr>
        <w:t>万元，</w:t>
      </w:r>
      <w:r w:rsidR="00DE14ED">
        <w:rPr>
          <w:rFonts w:ascii="仿宋_GB2312" w:hAnsi="仿宋" w:hint="eastAsia"/>
          <w:szCs w:val="32"/>
        </w:rPr>
        <w:t>增长176.71</w:t>
      </w:r>
      <w:r>
        <w:rPr>
          <w:rFonts w:ascii="仿宋_GB2312" w:hAnsi="仿宋" w:hint="eastAsia"/>
          <w:szCs w:val="32"/>
        </w:rPr>
        <w:t>%。决算数</w:t>
      </w:r>
      <w:r w:rsidR="00DE14ED">
        <w:rPr>
          <w:rFonts w:ascii="仿宋_GB2312" w:hAnsi="仿宋" w:hint="eastAsia"/>
          <w:szCs w:val="32"/>
        </w:rPr>
        <w:t>与</w:t>
      </w:r>
      <w:r>
        <w:rPr>
          <w:rFonts w:ascii="仿宋_GB2312" w:hAnsi="仿宋" w:hint="eastAsia"/>
          <w:szCs w:val="32"/>
        </w:rPr>
        <w:t>预算数</w:t>
      </w:r>
      <w:r w:rsidR="00DE14ED">
        <w:rPr>
          <w:rFonts w:ascii="仿宋_GB2312" w:hAnsi="仿宋" w:hint="eastAsia"/>
          <w:szCs w:val="32"/>
        </w:rPr>
        <w:t>持平。决算数较上年增加</w:t>
      </w:r>
      <w:r>
        <w:rPr>
          <w:rFonts w:ascii="仿宋_GB2312" w:hAnsi="仿宋" w:hint="eastAsia"/>
          <w:szCs w:val="32"/>
        </w:rPr>
        <w:t>的主要原因是</w:t>
      </w:r>
      <w:r w:rsidR="00DE14ED">
        <w:rPr>
          <w:rFonts w:ascii="仿宋_GB2312" w:hAnsi="仿宋" w:hint="eastAsia"/>
          <w:szCs w:val="32"/>
        </w:rPr>
        <w:t>增加了一辆公务用车</w:t>
      </w:r>
      <w:r w:rsidR="00971986">
        <w:rPr>
          <w:rFonts w:ascii="仿宋_GB2312" w:hAnsi="仿宋" w:hint="eastAsia"/>
          <w:szCs w:val="32"/>
        </w:rPr>
        <w:t>，车辆维修费、保险费用等相应增加所致</w:t>
      </w:r>
      <w:r>
        <w:rPr>
          <w:rFonts w:ascii="仿宋_GB2312" w:hAnsi="仿宋" w:hint="eastAsia"/>
          <w:szCs w:val="32"/>
        </w:rPr>
        <w:t>。</w:t>
      </w:r>
      <w:r w:rsidR="00971986" w:rsidRPr="0056621A">
        <w:rPr>
          <w:rFonts w:ascii="仿宋_GB2312" w:hAnsi="仿宋" w:hint="eastAsia"/>
          <w:color w:val="000000"/>
          <w:szCs w:val="32"/>
        </w:rPr>
        <w:t>202</w:t>
      </w:r>
      <w:r w:rsidR="00971986">
        <w:rPr>
          <w:rFonts w:ascii="仿宋_GB2312" w:hAnsi="仿宋" w:hint="eastAsia"/>
          <w:color w:val="000000"/>
          <w:szCs w:val="32"/>
        </w:rPr>
        <w:t>3</w:t>
      </w:r>
      <w:r w:rsidR="00971986" w:rsidRPr="0056621A">
        <w:rPr>
          <w:rFonts w:ascii="仿宋_GB2312" w:hAnsi="仿宋" w:hint="eastAsia"/>
          <w:color w:val="000000"/>
          <w:szCs w:val="32"/>
        </w:rPr>
        <w:t>年没有安排公务用车购置费</w:t>
      </w:r>
      <w:r w:rsidR="00971986" w:rsidRPr="0056621A">
        <w:rPr>
          <w:rFonts w:ascii="楷体_GB2312" w:eastAsia="楷体_GB2312" w:hAnsi="仿宋" w:hint="eastAsia"/>
          <w:color w:val="000000"/>
          <w:szCs w:val="32"/>
        </w:rPr>
        <w:t>。</w:t>
      </w:r>
      <w:r w:rsidR="00971986" w:rsidRPr="0056621A">
        <w:rPr>
          <w:rFonts w:ascii="仿宋_GB2312" w:hAnsi="仿宋" w:hint="eastAsia"/>
          <w:color w:val="000000"/>
          <w:szCs w:val="32"/>
        </w:rPr>
        <w:t>公务用车运行维护费，包括车辆燃料费、维修费、过路过桥费、保险费等支出，主要用于下乡监督检查项目等工作。截至202</w:t>
      </w:r>
      <w:r w:rsidR="00971986">
        <w:rPr>
          <w:rFonts w:ascii="仿宋_GB2312" w:hAnsi="仿宋" w:hint="eastAsia"/>
          <w:color w:val="000000"/>
          <w:szCs w:val="32"/>
        </w:rPr>
        <w:t>3</w:t>
      </w:r>
      <w:r w:rsidR="00971986" w:rsidRPr="0056621A">
        <w:rPr>
          <w:rFonts w:ascii="仿宋_GB2312" w:hAnsi="仿宋" w:hint="eastAsia"/>
          <w:color w:val="000000"/>
          <w:szCs w:val="32"/>
        </w:rPr>
        <w:t>年12月31日，黟县发展和改革委员会机关及所属单位开支财政拨款的公务用车保有量为</w:t>
      </w:r>
      <w:r w:rsidR="00971986">
        <w:rPr>
          <w:rFonts w:ascii="仿宋_GB2312" w:hAnsi="仿宋" w:hint="eastAsia"/>
          <w:color w:val="000000"/>
          <w:szCs w:val="32"/>
        </w:rPr>
        <w:t>2</w:t>
      </w:r>
      <w:r w:rsidR="00971986" w:rsidRPr="0056621A">
        <w:rPr>
          <w:rFonts w:ascii="仿宋_GB2312" w:hAnsi="仿宋" w:hint="eastAsia"/>
          <w:color w:val="000000"/>
          <w:szCs w:val="32"/>
        </w:rPr>
        <w:t>辆。</w:t>
      </w:r>
    </w:p>
    <w:p w:rsidR="008F5BFD" w:rsidRDefault="00EA6536">
      <w:pPr>
        <w:rPr>
          <w:rFonts w:hint="eastAsia"/>
        </w:rPr>
      </w:pPr>
    </w:p>
    <w:sectPr w:rsidR="008F5B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4D7"/>
    <w:rsid w:val="000F7217"/>
    <w:rsid w:val="0014457B"/>
    <w:rsid w:val="002900CD"/>
    <w:rsid w:val="002D34D7"/>
    <w:rsid w:val="00403F6A"/>
    <w:rsid w:val="006F2BB9"/>
    <w:rsid w:val="0072105E"/>
    <w:rsid w:val="008707CF"/>
    <w:rsid w:val="008E4DFC"/>
    <w:rsid w:val="00971986"/>
    <w:rsid w:val="00BD65A0"/>
    <w:rsid w:val="00DB47F3"/>
    <w:rsid w:val="00DE14ED"/>
    <w:rsid w:val="00E0652A"/>
    <w:rsid w:val="00E832F1"/>
    <w:rsid w:val="00EA6536"/>
    <w:rsid w:val="00F100CB"/>
    <w:rsid w:val="00FB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rsid w:val="000F7217"/>
    <w:pPr>
      <w:widowControl w:val="0"/>
      <w:jc w:val="both"/>
    </w:pPr>
    <w:rPr>
      <w:rFonts w:ascii="Times New Roman" w:eastAsia="仿宋_GB2312" w:hAnsi="Times New Roman" w:cs="Times New Roman"/>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0F7217"/>
    <w:pPr>
      <w:spacing w:after="120"/>
    </w:pPr>
  </w:style>
  <w:style w:type="character" w:customStyle="1" w:styleId="Char">
    <w:name w:val="正文文本 Char"/>
    <w:basedOn w:val="a1"/>
    <w:link w:val="a0"/>
    <w:uiPriority w:val="99"/>
    <w:semiHidden/>
    <w:rsid w:val="000F7217"/>
    <w:rPr>
      <w:rFonts w:ascii="Times New Roman" w:eastAsia="仿宋_GB2312" w:hAnsi="Times New Roman"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rsid w:val="000F7217"/>
    <w:pPr>
      <w:widowControl w:val="0"/>
      <w:jc w:val="both"/>
    </w:pPr>
    <w:rPr>
      <w:rFonts w:ascii="Times New Roman" w:eastAsia="仿宋_GB2312" w:hAnsi="Times New Roman" w:cs="Times New Roman"/>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0F7217"/>
    <w:pPr>
      <w:spacing w:after="120"/>
    </w:pPr>
  </w:style>
  <w:style w:type="character" w:customStyle="1" w:styleId="Char">
    <w:name w:val="正文文本 Char"/>
    <w:basedOn w:val="a1"/>
    <w:link w:val="a0"/>
    <w:uiPriority w:val="99"/>
    <w:semiHidden/>
    <w:rsid w:val="000F7217"/>
    <w:rPr>
      <w:rFonts w:ascii="Times New Roman"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43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203</Words>
  <Characters>1163</Characters>
  <Application>Microsoft Office Word</Application>
  <DocSecurity>0</DocSecurity>
  <Lines>9</Lines>
  <Paragraphs>2</Paragraphs>
  <ScaleCrop>false</ScaleCrop>
  <Company>Microsoft</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舒赞</dc:creator>
  <cp:keywords/>
  <dc:description/>
  <cp:lastModifiedBy>舒赞</cp:lastModifiedBy>
  <cp:revision>13</cp:revision>
  <dcterms:created xsi:type="dcterms:W3CDTF">2024-09-23T00:42:00Z</dcterms:created>
  <dcterms:modified xsi:type="dcterms:W3CDTF">2024-09-23T02:48:00Z</dcterms:modified>
</cp:coreProperties>
</file>