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B7AA5">
      <w:pPr>
        <w:jc w:val="center"/>
        <w:rPr>
          <w:rFonts w:hint="eastAsia" w:ascii="宋体" w:hAnsi="宋体"/>
          <w:b/>
          <w:sz w:val="36"/>
          <w:szCs w:val="36"/>
        </w:rPr>
      </w:pPr>
    </w:p>
    <w:p w14:paraId="429B49DC">
      <w:pPr>
        <w:jc w:val="center"/>
        <w:rPr>
          <w:rFonts w:hint="eastAsia" w:ascii="宋体" w:hAnsi="宋体"/>
          <w:b/>
          <w:sz w:val="36"/>
          <w:szCs w:val="36"/>
        </w:rPr>
      </w:pPr>
    </w:p>
    <w:p w14:paraId="6E6DAB96">
      <w:pPr>
        <w:jc w:val="center"/>
        <w:rPr>
          <w:rFonts w:ascii="宋体" w:hAnsi="宋体"/>
          <w:b/>
          <w:sz w:val="36"/>
          <w:szCs w:val="36"/>
        </w:rPr>
      </w:pPr>
      <w:bookmarkStart w:id="0" w:name="_GoBack"/>
      <w:bookmarkEnd w:id="0"/>
      <w:r>
        <w:rPr>
          <w:rFonts w:hint="eastAsia" w:ascii="宋体" w:hAnsi="宋体"/>
          <w:b/>
          <w:sz w:val="36"/>
          <w:szCs w:val="36"/>
        </w:rPr>
        <w:t>黟县</w:t>
      </w:r>
      <w:r>
        <w:rPr>
          <w:rFonts w:hint="eastAsia" w:ascii="宋体" w:hAnsi="宋体"/>
          <w:b/>
          <w:sz w:val="36"/>
          <w:szCs w:val="36"/>
          <w:lang w:eastAsia="zh-CN"/>
        </w:rPr>
        <w:t>民政局</w:t>
      </w:r>
      <w:r>
        <w:rPr>
          <w:rFonts w:hint="eastAsia" w:ascii="宋体" w:hAnsi="宋体"/>
          <w:b/>
          <w:sz w:val="36"/>
          <w:szCs w:val="36"/>
        </w:rPr>
        <w:t>2023</w:t>
      </w:r>
      <w:r>
        <w:rPr>
          <w:rFonts w:ascii="宋体" w:hAnsi="宋体"/>
          <w:b/>
          <w:sz w:val="36"/>
          <w:szCs w:val="36"/>
        </w:rPr>
        <w:t>年</w:t>
      </w:r>
      <w:r>
        <w:rPr>
          <w:rFonts w:hint="eastAsia" w:ascii="宋体" w:hAnsi="宋体"/>
          <w:b/>
          <w:sz w:val="36"/>
          <w:szCs w:val="36"/>
        </w:rPr>
        <w:t>度一般公共预算财政拨款</w:t>
      </w:r>
      <w:r>
        <w:rPr>
          <w:rFonts w:hint="eastAsia" w:ascii="宋体" w:hAnsi="宋体"/>
          <w:b/>
          <w:sz w:val="36"/>
          <w:szCs w:val="36"/>
          <w:lang w:val="en-US" w:eastAsia="zh-CN"/>
        </w:rPr>
        <w:t xml:space="preserve">    </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4A9C78BE">
      <w:pPr>
        <w:jc w:val="center"/>
        <w:rPr>
          <w:rFonts w:ascii="楷体_GB2312" w:eastAsia="楷体_GB2312"/>
          <w:szCs w:val="32"/>
        </w:rPr>
      </w:pPr>
    </w:p>
    <w:p w14:paraId="4040E2C5">
      <w:pPr>
        <w:adjustRightInd w:val="0"/>
        <w:snapToGrid w:val="0"/>
        <w:spacing w:line="360" w:lineRule="auto"/>
        <w:jc w:val="center"/>
        <w:rPr>
          <w:rFonts w:ascii="宋体" w:hAnsi="宋体"/>
          <w:sz w:val="6"/>
          <w:szCs w:val="32"/>
        </w:rPr>
      </w:pPr>
    </w:p>
    <w:p w14:paraId="783D13B1">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一、2023年度一般公共预算财政拨款“三公”经费支出决算表</w:t>
      </w:r>
    </w:p>
    <w:p w14:paraId="376EDAF3">
      <w:pPr>
        <w:jc w:val="right"/>
        <w:rPr>
          <w:rFonts w:ascii="黑体" w:hAnsi="黑体" w:eastAsia="黑体"/>
          <w:szCs w:val="32"/>
        </w:rPr>
      </w:pPr>
      <w:r>
        <w:rPr>
          <w:rFonts w:hint="eastAsia" w:ascii="仿宋_GB2312" w:hAnsi="仿宋_GB2312" w:cs="仿宋_GB2312"/>
          <w:szCs w:val="32"/>
        </w:rPr>
        <w:t>单位：万元</w:t>
      </w:r>
    </w:p>
    <w:tbl>
      <w:tblPr>
        <w:tblStyle w:val="2"/>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5ABBBB0E">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03AF506A">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71719F82">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64283AED">
            <w:pPr>
              <w:widowControl/>
              <w:jc w:val="center"/>
              <w:rPr>
                <w:rFonts w:ascii="宋体" w:hAnsi="宋体" w:cs="宋体"/>
                <w:b/>
                <w:bCs/>
                <w:kern w:val="0"/>
                <w:szCs w:val="21"/>
              </w:rPr>
            </w:pPr>
            <w:r>
              <w:rPr>
                <w:rFonts w:hint="eastAsia" w:ascii="宋体" w:hAnsi="宋体" w:cs="宋体"/>
                <w:b/>
                <w:bCs/>
                <w:kern w:val="0"/>
                <w:szCs w:val="21"/>
              </w:rPr>
              <w:t>决 算 数</w:t>
            </w:r>
          </w:p>
        </w:tc>
      </w:tr>
      <w:tr w14:paraId="6299C197">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FF3FC35">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68AAF735">
            <w:pPr>
              <w:widowControl/>
              <w:jc w:val="center"/>
              <w:rPr>
                <w:rFonts w:ascii="宋体" w:hAnsi="宋体" w:cs="宋体"/>
                <w:b/>
                <w:bCs/>
                <w:kern w:val="0"/>
                <w:szCs w:val="21"/>
              </w:rPr>
            </w:pPr>
            <w:r>
              <w:rPr>
                <w:rFonts w:hint="eastAsia" w:ascii="宋体" w:hAnsi="宋体" w:cs="宋体"/>
                <w:b/>
                <w:bCs/>
                <w:kern w:val="0"/>
                <w:szCs w:val="21"/>
                <w:lang w:val="en-US" w:eastAsia="zh-CN"/>
              </w:rPr>
              <w:t>7.06</w:t>
            </w:r>
            <w:r>
              <w:rPr>
                <w:rFonts w:hint="eastAsia" w:ascii="宋体" w:hAnsi="宋体" w:cs="宋体"/>
                <w:b/>
                <w:bCs/>
                <w:kern w:val="0"/>
                <w:szCs w:val="21"/>
              </w:rPr>
              <w:t>　</w:t>
            </w:r>
          </w:p>
        </w:tc>
        <w:tc>
          <w:tcPr>
            <w:tcW w:w="2220" w:type="dxa"/>
            <w:tcBorders>
              <w:top w:val="nil"/>
              <w:left w:val="nil"/>
              <w:bottom w:val="single" w:color="auto" w:sz="4" w:space="0"/>
              <w:right w:val="single" w:color="auto" w:sz="4" w:space="0"/>
            </w:tcBorders>
            <w:vAlign w:val="center"/>
          </w:tcPr>
          <w:p w14:paraId="422CDED3">
            <w:pPr>
              <w:widowControl/>
              <w:jc w:val="center"/>
              <w:rPr>
                <w:rFonts w:ascii="宋体" w:hAnsi="宋体" w:cs="宋体"/>
                <w:b/>
                <w:bCs/>
                <w:kern w:val="0"/>
                <w:szCs w:val="21"/>
              </w:rPr>
            </w:pPr>
            <w:r>
              <w:rPr>
                <w:rFonts w:hint="eastAsia" w:ascii="宋体" w:hAnsi="宋体" w:cs="宋体"/>
                <w:b/>
                <w:bCs/>
                <w:kern w:val="0"/>
                <w:szCs w:val="21"/>
                <w:lang w:val="en-US" w:eastAsia="zh-CN"/>
              </w:rPr>
              <w:t>7.06</w:t>
            </w:r>
            <w:r>
              <w:rPr>
                <w:rFonts w:hint="eastAsia" w:ascii="宋体" w:hAnsi="宋体" w:cs="宋体"/>
                <w:b/>
                <w:bCs/>
                <w:kern w:val="0"/>
                <w:szCs w:val="21"/>
              </w:rPr>
              <w:t>　</w:t>
            </w:r>
          </w:p>
        </w:tc>
      </w:tr>
      <w:tr w14:paraId="4561D4D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5698870">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6560E99A">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2F936996">
            <w:pPr>
              <w:widowControl/>
              <w:jc w:val="left"/>
              <w:rPr>
                <w:rFonts w:ascii="宋体" w:hAnsi="宋体" w:cs="宋体"/>
                <w:kern w:val="0"/>
                <w:szCs w:val="21"/>
              </w:rPr>
            </w:pPr>
            <w:r>
              <w:rPr>
                <w:rFonts w:hint="eastAsia" w:ascii="宋体" w:hAnsi="宋体" w:cs="宋体"/>
                <w:kern w:val="0"/>
                <w:szCs w:val="21"/>
              </w:rPr>
              <w:t>　</w:t>
            </w:r>
          </w:p>
        </w:tc>
      </w:tr>
      <w:tr w14:paraId="19A868F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7E35260">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3B49A7CE">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5.1</w:t>
            </w:r>
          </w:p>
        </w:tc>
        <w:tc>
          <w:tcPr>
            <w:tcW w:w="2220" w:type="dxa"/>
            <w:tcBorders>
              <w:top w:val="nil"/>
              <w:left w:val="nil"/>
              <w:bottom w:val="single" w:color="auto" w:sz="4" w:space="0"/>
              <w:right w:val="single" w:color="auto" w:sz="4" w:space="0"/>
            </w:tcBorders>
            <w:vAlign w:val="bottom"/>
          </w:tcPr>
          <w:p w14:paraId="74B0E5C0">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5.1</w:t>
            </w:r>
          </w:p>
        </w:tc>
      </w:tr>
      <w:tr w14:paraId="636E8B6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BB09990">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11B50938">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1.96</w:t>
            </w:r>
          </w:p>
        </w:tc>
        <w:tc>
          <w:tcPr>
            <w:tcW w:w="2220" w:type="dxa"/>
            <w:tcBorders>
              <w:top w:val="nil"/>
              <w:left w:val="nil"/>
              <w:bottom w:val="single" w:color="auto" w:sz="4" w:space="0"/>
              <w:right w:val="single" w:color="auto" w:sz="4" w:space="0"/>
            </w:tcBorders>
            <w:vAlign w:val="bottom"/>
          </w:tcPr>
          <w:p w14:paraId="2033212C">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1.96</w:t>
            </w:r>
          </w:p>
        </w:tc>
      </w:tr>
      <w:tr w14:paraId="091807C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83DD170">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14:paraId="2A4D4EC1">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11C36D01">
            <w:pPr>
              <w:widowControl/>
              <w:jc w:val="left"/>
              <w:rPr>
                <w:rFonts w:ascii="宋体" w:hAnsi="宋体" w:cs="宋体"/>
                <w:kern w:val="0"/>
                <w:szCs w:val="21"/>
              </w:rPr>
            </w:pPr>
            <w:r>
              <w:rPr>
                <w:rFonts w:hint="eastAsia" w:ascii="宋体" w:hAnsi="宋体" w:cs="宋体"/>
                <w:kern w:val="0"/>
                <w:szCs w:val="21"/>
              </w:rPr>
              <w:t>　</w:t>
            </w:r>
          </w:p>
        </w:tc>
      </w:tr>
      <w:tr w14:paraId="114EEE7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3F1C96B">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14:paraId="6159074E">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1.96</w:t>
            </w:r>
          </w:p>
        </w:tc>
        <w:tc>
          <w:tcPr>
            <w:tcW w:w="2220" w:type="dxa"/>
            <w:tcBorders>
              <w:top w:val="nil"/>
              <w:left w:val="nil"/>
              <w:bottom w:val="single" w:color="auto" w:sz="4" w:space="0"/>
              <w:right w:val="single" w:color="auto" w:sz="4" w:space="0"/>
            </w:tcBorders>
            <w:vAlign w:val="bottom"/>
          </w:tcPr>
          <w:p w14:paraId="7743F515">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1.96</w:t>
            </w:r>
          </w:p>
        </w:tc>
      </w:tr>
    </w:tbl>
    <w:p w14:paraId="53F91349">
      <w:pPr>
        <w:spacing w:line="300" w:lineRule="exact"/>
        <w:rPr>
          <w:rFonts w:ascii="仿宋_GB2312" w:hAnsi="仿宋"/>
          <w:sz w:val="21"/>
          <w:szCs w:val="21"/>
        </w:rPr>
      </w:pPr>
    </w:p>
    <w:p w14:paraId="4CA763CE">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1EDB5DBE">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61EB0D9D">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5AEC263C">
      <w:pPr>
        <w:ind w:firstLine="640" w:firstLineChars="200"/>
        <w:rPr>
          <w:rFonts w:ascii="楷体_GB2312" w:hAnsi="仿宋" w:eastAsia="楷体_GB2312"/>
          <w:szCs w:val="32"/>
        </w:rPr>
      </w:pPr>
      <w:r>
        <w:rPr>
          <w:rFonts w:hint="eastAsia" w:ascii="仿宋_GB2312" w:hAnsi="仿宋"/>
          <w:szCs w:val="32"/>
        </w:rPr>
        <w:t>黟县</w:t>
      </w:r>
      <w:r>
        <w:rPr>
          <w:rFonts w:hint="eastAsia" w:ascii="仿宋_GB2312" w:hAnsi="仿宋"/>
          <w:szCs w:val="32"/>
          <w:lang w:eastAsia="zh-CN"/>
        </w:rPr>
        <w:t>民政局</w:t>
      </w:r>
      <w:r>
        <w:rPr>
          <w:rFonts w:hint="eastAsia" w:ascii="仿宋_GB2312" w:hAnsi="仿宋"/>
          <w:szCs w:val="32"/>
        </w:rPr>
        <w:t>2023年度一般公共预算财政拨款“三公”经费支出预算为</w:t>
      </w:r>
      <w:r>
        <w:rPr>
          <w:rFonts w:hint="eastAsia" w:ascii="仿宋_GB2312" w:hAnsi="仿宋"/>
          <w:szCs w:val="32"/>
          <w:lang w:val="en-US" w:eastAsia="zh-CN"/>
        </w:rPr>
        <w:t>7.06</w:t>
      </w:r>
      <w:r>
        <w:rPr>
          <w:rFonts w:hint="eastAsia" w:ascii="仿宋_GB2312" w:hAnsi="仿宋"/>
          <w:szCs w:val="32"/>
        </w:rPr>
        <w:t>万元，支出决算为</w:t>
      </w:r>
      <w:r>
        <w:rPr>
          <w:rFonts w:hint="eastAsia" w:ascii="仿宋_GB2312" w:hAnsi="仿宋"/>
          <w:szCs w:val="32"/>
          <w:lang w:val="en-US" w:eastAsia="zh-CN"/>
        </w:rPr>
        <w:t>7.06</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w:t>
      </w:r>
      <w:r>
        <w:rPr>
          <w:rFonts w:hint="eastAsia" w:ascii="仿宋_GB2312" w:hAnsi="仿宋" w:cs="Times New Roman"/>
          <w:color w:val="auto"/>
          <w:szCs w:val="32"/>
          <w:u w:val="none"/>
          <w:lang w:eastAsia="zh-CN"/>
        </w:rPr>
        <w:t>较上年减少</w:t>
      </w:r>
      <w:r>
        <w:rPr>
          <w:rFonts w:hint="eastAsia" w:ascii="仿宋_GB2312" w:hAnsi="仿宋" w:cs="Times New Roman"/>
          <w:color w:val="auto"/>
          <w:szCs w:val="32"/>
          <w:u w:val="none"/>
          <w:lang w:val="en-US" w:eastAsia="zh-CN"/>
        </w:rPr>
        <w:t>0.29</w:t>
      </w:r>
      <w:r>
        <w:rPr>
          <w:rFonts w:hint="eastAsia" w:ascii="仿宋_GB2312" w:hAnsi="仿宋" w:cs="Times New Roman"/>
          <w:color w:val="auto"/>
          <w:szCs w:val="32"/>
          <w:u w:val="none"/>
        </w:rPr>
        <w:t>万元</w:t>
      </w:r>
      <w:r>
        <w:rPr>
          <w:rFonts w:hint="eastAsia" w:ascii="仿宋_GB2312" w:hAnsi="仿宋" w:cs="Times New Roman"/>
          <w:color w:val="auto"/>
          <w:szCs w:val="32"/>
          <w:u w:val="none"/>
          <w:lang w:eastAsia="zh-CN"/>
        </w:rPr>
        <w:t>，下降</w:t>
      </w:r>
      <w:r>
        <w:rPr>
          <w:rFonts w:hint="eastAsia" w:ascii="仿宋_GB2312" w:hAnsi="仿宋" w:cs="Times New Roman"/>
          <w:color w:val="auto"/>
          <w:szCs w:val="32"/>
          <w:u w:val="none"/>
          <w:lang w:val="en-US" w:eastAsia="zh-CN"/>
        </w:rPr>
        <w:t>3.95%。</w:t>
      </w:r>
      <w:r>
        <w:rPr>
          <w:rFonts w:hint="eastAsia" w:ascii="仿宋_GB2312" w:hAnsi="仿宋" w:cs="Times New Roman"/>
          <w:color w:val="auto"/>
          <w:szCs w:val="32"/>
          <w:u w:val="none"/>
        </w:rPr>
        <w:t>决算数</w:t>
      </w:r>
      <w:r>
        <w:rPr>
          <w:rFonts w:hint="eastAsia" w:ascii="仿宋_GB2312" w:hAnsi="仿宋" w:cs="Times New Roman"/>
          <w:color w:val="auto"/>
          <w:szCs w:val="32"/>
          <w:u w:val="none"/>
          <w:lang w:eastAsia="zh-CN"/>
        </w:rPr>
        <w:t>等于</w:t>
      </w:r>
      <w:r>
        <w:rPr>
          <w:rFonts w:hint="eastAsia" w:ascii="仿宋_GB2312" w:hAnsi="仿宋" w:cs="Times New Roman"/>
          <w:color w:val="auto"/>
          <w:szCs w:val="32"/>
          <w:u w:val="none"/>
        </w:rPr>
        <w:t>预算数的主要原因是</w:t>
      </w:r>
      <w:r>
        <w:rPr>
          <w:rFonts w:hint="eastAsia" w:ascii="仿宋_GB2312" w:hAnsi="仿宋" w:cs="Times New Roman"/>
          <w:color w:val="auto"/>
          <w:szCs w:val="32"/>
          <w:u w:val="none"/>
          <w:lang w:eastAsia="zh-CN"/>
        </w:rPr>
        <w:t>预算数是按规定程序调整后的预算数</w:t>
      </w:r>
      <w:r>
        <w:rPr>
          <w:rFonts w:hint="eastAsia" w:ascii="仿宋_GB2312" w:hAnsi="仿宋" w:cs="Times New Roman"/>
          <w:color w:val="auto"/>
          <w:szCs w:val="32"/>
          <w:u w:val="none"/>
        </w:rPr>
        <w:t>。决算数</w:t>
      </w:r>
      <w:r>
        <w:rPr>
          <w:rFonts w:hint="eastAsia" w:ascii="仿宋_GB2312" w:hAnsi="仿宋" w:cs="Times New Roman"/>
          <w:color w:val="auto"/>
          <w:szCs w:val="32"/>
          <w:u w:val="none"/>
          <w:lang w:eastAsia="zh-CN"/>
        </w:rPr>
        <w:t>较上年减少</w:t>
      </w:r>
      <w:r>
        <w:rPr>
          <w:rFonts w:hint="eastAsia" w:ascii="仿宋_GB2312" w:hAnsi="仿宋" w:cs="Times New Roman"/>
          <w:color w:val="auto"/>
          <w:szCs w:val="32"/>
          <w:u w:val="none"/>
        </w:rPr>
        <w:t>的主要原因是</w:t>
      </w:r>
      <w:r>
        <w:rPr>
          <w:rFonts w:hint="eastAsia" w:ascii="仿宋_GB2312" w:hAnsi="仿宋" w:cs="Times New Roman"/>
          <w:color w:val="auto"/>
          <w:szCs w:val="32"/>
          <w:u w:val="none"/>
          <w:lang w:eastAsia="zh-CN"/>
        </w:rPr>
        <w:t>厉行节约，减少公务接待和公务用车支出</w:t>
      </w:r>
      <w:r>
        <w:rPr>
          <w:rFonts w:hint="eastAsia" w:ascii="仿宋_GB2312" w:hAnsi="仿宋" w:cs="Times New Roman"/>
          <w:color w:val="auto"/>
          <w:szCs w:val="32"/>
          <w:u w:val="none"/>
        </w:rPr>
        <w:t>。</w:t>
      </w:r>
    </w:p>
    <w:p w14:paraId="0579F253">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6D6BA3B0">
      <w:pPr>
        <w:ind w:firstLine="640" w:firstLineChars="200"/>
        <w:rPr>
          <w:rFonts w:ascii="仿宋_GB2312" w:hAnsi="仿宋"/>
          <w:szCs w:val="32"/>
        </w:rPr>
      </w:pPr>
      <w:r>
        <w:rPr>
          <w:rFonts w:hint="eastAsia" w:ascii="仿宋_GB2312" w:hAnsi="仿宋"/>
          <w:szCs w:val="32"/>
        </w:rPr>
        <w:t>黟县</w:t>
      </w:r>
      <w:r>
        <w:rPr>
          <w:rFonts w:hint="eastAsia" w:ascii="仿宋_GB2312" w:hAnsi="仿宋"/>
          <w:szCs w:val="32"/>
          <w:lang w:eastAsia="zh-CN"/>
        </w:rPr>
        <w:t>民政局</w:t>
      </w:r>
      <w:r>
        <w:rPr>
          <w:rFonts w:hint="eastAsia" w:ascii="仿宋_GB2312" w:hAnsi="仿宋"/>
          <w:szCs w:val="32"/>
        </w:rPr>
        <w:t>2023年度一般公共预算财政拨款“三公”经费支出决算中，因公出国（境）费支出决算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5.1</w:t>
      </w:r>
      <w:r>
        <w:rPr>
          <w:rFonts w:hint="eastAsia" w:ascii="仿宋_GB2312" w:hAnsi="仿宋"/>
          <w:szCs w:val="32"/>
        </w:rPr>
        <w:t>万元，占</w:t>
      </w:r>
      <w:r>
        <w:rPr>
          <w:rFonts w:hint="eastAsia" w:ascii="仿宋_GB2312" w:hAnsi="仿宋"/>
          <w:szCs w:val="32"/>
          <w:lang w:val="en-US" w:eastAsia="zh-CN"/>
        </w:rPr>
        <w:t>72.24</w:t>
      </w:r>
      <w:r>
        <w:rPr>
          <w:rFonts w:hint="eastAsia" w:ascii="仿宋_GB2312" w:hAnsi="仿宋"/>
          <w:szCs w:val="32"/>
        </w:rPr>
        <w:t>%；公务用车购置及运行维护费支出决算</w:t>
      </w:r>
      <w:r>
        <w:rPr>
          <w:rFonts w:hint="eastAsia" w:ascii="仿宋_GB2312" w:hAnsi="仿宋"/>
          <w:szCs w:val="32"/>
          <w:lang w:val="en-US" w:eastAsia="zh-CN"/>
        </w:rPr>
        <w:t>1.96</w:t>
      </w:r>
      <w:r>
        <w:rPr>
          <w:rFonts w:hint="eastAsia" w:ascii="仿宋_GB2312" w:hAnsi="仿宋"/>
          <w:szCs w:val="32"/>
        </w:rPr>
        <w:t>万元，占</w:t>
      </w:r>
      <w:r>
        <w:rPr>
          <w:rFonts w:hint="eastAsia" w:ascii="仿宋_GB2312" w:hAnsi="仿宋"/>
          <w:szCs w:val="32"/>
          <w:lang w:val="en-US" w:eastAsia="zh-CN"/>
        </w:rPr>
        <w:t>27.76</w:t>
      </w:r>
      <w:r>
        <w:rPr>
          <w:rFonts w:hint="eastAsia" w:ascii="仿宋_GB2312" w:hAnsi="仿宋"/>
          <w:szCs w:val="32"/>
        </w:rPr>
        <w:t>%。具体情况如下：</w:t>
      </w:r>
    </w:p>
    <w:p w14:paraId="7DF067CB">
      <w:pPr>
        <w:ind w:firstLine="628"/>
        <w:rPr>
          <w:rFonts w:hint="eastAsia" w:ascii="仿宋_GB2312" w:hAnsi="仿宋" w:cs="Times New Roman"/>
          <w:color w:val="auto"/>
          <w:szCs w:val="32"/>
        </w:rPr>
      </w:pPr>
      <w:r>
        <w:rPr>
          <w:rFonts w:hint="eastAsia" w:ascii="仿宋_GB2312" w:hAnsi="仿宋" w:cs="Times New Roman"/>
          <w:b/>
          <w:bCs/>
          <w:color w:val="auto"/>
          <w:szCs w:val="32"/>
        </w:rPr>
        <w:t>1.因公出国（境）费</w:t>
      </w:r>
      <w:r>
        <w:rPr>
          <w:rFonts w:hint="eastAsia" w:ascii="仿宋_GB2312" w:hAnsi="仿宋" w:cs="Times New Roman"/>
          <w:color w:val="auto"/>
          <w:szCs w:val="32"/>
          <w:lang w:eastAsia="zh-CN"/>
        </w:rPr>
        <w:t>预算为</w:t>
      </w:r>
      <w:r>
        <w:rPr>
          <w:rFonts w:hint="eastAsia" w:ascii="仿宋_GB2312" w:hAnsi="仿宋" w:cs="Times New Roman"/>
          <w:color w:val="auto"/>
          <w:szCs w:val="32"/>
          <w:lang w:val="en-US" w:eastAsia="zh-CN"/>
        </w:rPr>
        <w:t>0</w:t>
      </w:r>
      <w:r>
        <w:rPr>
          <w:rFonts w:hint="eastAsia" w:ascii="仿宋_GB2312" w:hAnsi="仿宋" w:cs="Times New Roman"/>
          <w:color w:val="auto"/>
          <w:szCs w:val="32"/>
          <w:lang w:eastAsia="zh-CN"/>
        </w:rPr>
        <w:t>万元，支出决算为</w:t>
      </w:r>
      <w:r>
        <w:rPr>
          <w:rFonts w:hint="eastAsia" w:ascii="仿宋_GB2312" w:hAnsi="仿宋" w:cs="Times New Roman"/>
          <w:color w:val="auto"/>
          <w:szCs w:val="32"/>
          <w:lang w:val="en-US" w:eastAsia="zh-CN"/>
        </w:rPr>
        <w:t>0万元</w:t>
      </w:r>
      <w:r>
        <w:rPr>
          <w:rFonts w:hint="eastAsia" w:ascii="仿宋_GB2312" w:hAnsi="仿宋" w:cs="Times New Roman"/>
          <w:color w:val="auto"/>
          <w:szCs w:val="32"/>
          <w:lang w:eastAsia="zh-CN"/>
        </w:rPr>
        <w:t>，</w:t>
      </w:r>
      <w:r>
        <w:rPr>
          <w:rFonts w:hint="eastAsia" w:ascii="仿宋_GB2312" w:hAnsi="仿宋" w:cs="Times New Roman"/>
          <w:szCs w:val="32"/>
        </w:rPr>
        <w:t>与202</w:t>
      </w:r>
      <w:r>
        <w:rPr>
          <w:rFonts w:hint="eastAsia" w:ascii="仿宋_GB2312" w:hAnsi="仿宋" w:cs="Times New Roman"/>
          <w:szCs w:val="32"/>
          <w:lang w:val="en-US" w:eastAsia="zh-CN"/>
        </w:rPr>
        <w:t>3</w:t>
      </w:r>
      <w:r>
        <w:rPr>
          <w:rFonts w:hint="eastAsia" w:ascii="仿宋_GB2312" w:hAnsi="仿宋" w:cs="Times New Roman"/>
          <w:szCs w:val="32"/>
        </w:rPr>
        <w:t>年度预算相比，持平</w:t>
      </w:r>
      <w:r>
        <w:rPr>
          <w:rFonts w:hint="eastAsia" w:ascii="仿宋_GB2312" w:hAnsi="仿宋" w:cs="Times New Roman"/>
          <w:color w:val="auto"/>
          <w:szCs w:val="32"/>
          <w:lang w:eastAsia="zh-CN"/>
        </w:rPr>
        <w:t>；202</w:t>
      </w:r>
      <w:r>
        <w:rPr>
          <w:rFonts w:hint="eastAsia" w:ascii="仿宋_GB2312" w:hAnsi="仿宋" w:cs="Times New Roman"/>
          <w:color w:val="auto"/>
          <w:szCs w:val="32"/>
          <w:lang w:val="en-US" w:eastAsia="zh-CN"/>
        </w:rPr>
        <w:t>3</w:t>
      </w:r>
      <w:r>
        <w:rPr>
          <w:rFonts w:hint="eastAsia" w:ascii="仿宋_GB2312" w:hAnsi="仿宋" w:cs="Times New Roman"/>
          <w:color w:val="auto"/>
          <w:szCs w:val="32"/>
        </w:rPr>
        <w:t>年</w:t>
      </w:r>
      <w:r>
        <w:rPr>
          <w:rFonts w:hint="eastAsia" w:ascii="仿宋_GB2312" w:hAnsi="仿宋" w:cs="Times New Roman"/>
          <w:color w:val="auto"/>
          <w:szCs w:val="32"/>
          <w:lang w:eastAsia="zh-CN"/>
        </w:rPr>
        <w:t>黟县民政局</w:t>
      </w:r>
      <w:r>
        <w:rPr>
          <w:rFonts w:hint="eastAsia" w:ascii="仿宋_GB2312" w:hAnsi="仿宋" w:cs="Times New Roman"/>
          <w:color w:val="auto"/>
          <w:szCs w:val="32"/>
        </w:rPr>
        <w:t>因公出国（境）团组</w:t>
      </w:r>
      <w:r>
        <w:rPr>
          <w:rFonts w:hint="eastAsia" w:ascii="仿宋_GB2312" w:hAnsi="仿宋" w:cs="Times New Roman"/>
          <w:color w:val="auto"/>
          <w:szCs w:val="32"/>
          <w:lang w:val="en-US" w:eastAsia="zh-CN"/>
        </w:rPr>
        <w:t>0</w:t>
      </w:r>
      <w:r>
        <w:rPr>
          <w:rFonts w:hint="eastAsia" w:ascii="仿宋_GB2312" w:hAnsi="仿宋" w:cs="Times New Roman"/>
          <w:color w:val="auto"/>
          <w:szCs w:val="32"/>
        </w:rPr>
        <w:t>次，累计出国（境）</w:t>
      </w:r>
      <w:r>
        <w:rPr>
          <w:rFonts w:hint="eastAsia" w:ascii="仿宋_GB2312" w:hAnsi="仿宋" w:cs="Times New Roman"/>
          <w:color w:val="auto"/>
          <w:szCs w:val="32"/>
          <w:lang w:val="en-US" w:eastAsia="zh-CN"/>
        </w:rPr>
        <w:t>0</w:t>
      </w:r>
      <w:r>
        <w:rPr>
          <w:rFonts w:hint="eastAsia" w:ascii="仿宋_GB2312" w:hAnsi="仿宋" w:cs="Times New Roman"/>
          <w:color w:val="auto"/>
          <w:szCs w:val="32"/>
        </w:rPr>
        <w:t>人次。该项经费根据</w:t>
      </w:r>
      <w:r>
        <w:rPr>
          <w:rFonts w:hint="eastAsia" w:ascii="仿宋_GB2312" w:hAnsi="仿宋" w:cs="Times New Roman"/>
          <w:color w:val="auto"/>
          <w:szCs w:val="32"/>
          <w:lang w:eastAsia="zh-CN"/>
        </w:rPr>
        <w:t>县</w:t>
      </w:r>
      <w:r>
        <w:rPr>
          <w:rFonts w:hint="eastAsia" w:ascii="仿宋_GB2312" w:hAnsi="仿宋" w:cs="Times New Roman"/>
          <w:color w:val="auto"/>
          <w:szCs w:val="32"/>
        </w:rPr>
        <w:t>外办批准的因公临时出国（境）计划，按照规定标准安排。经费使用严格按照《黄山市财政局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黄山市人力资源和社会保障局转发&lt;安徽省省直党政机关因公短期出国培训费用管理办法&gt;的通知》（黄财社〔2014〕262号）等相关规定执行。</w:t>
      </w:r>
    </w:p>
    <w:p w14:paraId="78C735CB">
      <w:pPr>
        <w:ind w:firstLine="643"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rPr>
        <w:t>预算为</w:t>
      </w:r>
      <w:r>
        <w:rPr>
          <w:rFonts w:hint="eastAsia" w:ascii="仿宋_GB2312" w:hAnsi="仿宋"/>
          <w:szCs w:val="32"/>
          <w:lang w:val="en-US" w:eastAsia="zh-CN"/>
        </w:rPr>
        <w:t>5.1</w:t>
      </w:r>
      <w:r>
        <w:rPr>
          <w:rFonts w:hint="eastAsia" w:ascii="仿宋_GB2312" w:hAnsi="仿宋"/>
          <w:szCs w:val="32"/>
        </w:rPr>
        <w:t>万元，支出决算为</w:t>
      </w:r>
      <w:r>
        <w:rPr>
          <w:rFonts w:hint="eastAsia" w:ascii="仿宋_GB2312" w:hAnsi="仿宋"/>
          <w:szCs w:val="32"/>
          <w:lang w:val="en-US" w:eastAsia="zh-CN"/>
        </w:rPr>
        <w:t>5.1</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cs="Times New Roman"/>
          <w:color w:val="auto"/>
          <w:szCs w:val="32"/>
          <w:u w:val="none"/>
          <w:lang w:eastAsia="zh-CN"/>
        </w:rPr>
        <w:t>较上年减少</w:t>
      </w:r>
      <w:r>
        <w:rPr>
          <w:rFonts w:hint="eastAsia" w:ascii="仿宋_GB2312" w:hAnsi="仿宋" w:cs="Times New Roman"/>
          <w:color w:val="auto"/>
          <w:szCs w:val="32"/>
          <w:u w:val="none"/>
          <w:lang w:val="en-US" w:eastAsia="zh-CN"/>
        </w:rPr>
        <w:t>0.27</w:t>
      </w:r>
      <w:r>
        <w:rPr>
          <w:rFonts w:hint="eastAsia" w:ascii="仿宋_GB2312" w:hAnsi="仿宋" w:cs="Times New Roman"/>
          <w:color w:val="auto"/>
          <w:szCs w:val="32"/>
          <w:u w:val="none"/>
        </w:rPr>
        <w:t>万元</w:t>
      </w:r>
      <w:r>
        <w:rPr>
          <w:rFonts w:hint="eastAsia" w:ascii="仿宋_GB2312" w:hAnsi="仿宋" w:cs="Times New Roman"/>
          <w:color w:val="auto"/>
          <w:szCs w:val="32"/>
          <w:u w:val="none"/>
          <w:lang w:eastAsia="zh-CN"/>
        </w:rPr>
        <w:t>，下降</w:t>
      </w:r>
      <w:r>
        <w:rPr>
          <w:rFonts w:hint="eastAsia" w:ascii="仿宋_GB2312" w:hAnsi="仿宋" w:cs="Times New Roman"/>
          <w:color w:val="auto"/>
          <w:szCs w:val="32"/>
          <w:u w:val="none"/>
          <w:lang w:val="en-US" w:eastAsia="zh-CN"/>
        </w:rPr>
        <w:t>5.03%。</w:t>
      </w:r>
      <w:r>
        <w:rPr>
          <w:rFonts w:hint="eastAsia" w:ascii="仿宋_GB2312" w:hAnsi="仿宋" w:cs="Times New Roman"/>
          <w:color w:val="auto"/>
          <w:szCs w:val="32"/>
          <w:u w:val="none"/>
        </w:rPr>
        <w:t>决算数</w:t>
      </w:r>
      <w:r>
        <w:rPr>
          <w:rFonts w:hint="eastAsia" w:ascii="仿宋_GB2312" w:hAnsi="仿宋" w:cs="Times New Roman"/>
          <w:color w:val="auto"/>
          <w:szCs w:val="32"/>
          <w:u w:val="none"/>
          <w:lang w:eastAsia="zh-CN"/>
        </w:rPr>
        <w:t>等</w:t>
      </w:r>
      <w:r>
        <w:rPr>
          <w:rFonts w:hint="eastAsia" w:ascii="仿宋_GB2312" w:hAnsi="仿宋" w:cs="Times New Roman"/>
          <w:color w:val="auto"/>
          <w:szCs w:val="32"/>
          <w:u w:val="none"/>
        </w:rPr>
        <w:t>于预算数的主要原因是</w:t>
      </w:r>
      <w:r>
        <w:rPr>
          <w:rFonts w:hint="eastAsia" w:ascii="仿宋_GB2312" w:hAnsi="仿宋" w:cs="Times New Roman"/>
          <w:color w:val="auto"/>
          <w:szCs w:val="32"/>
          <w:u w:val="none"/>
          <w:lang w:eastAsia="zh-CN"/>
        </w:rPr>
        <w:t>预算数是按规定程序调整后的预算数</w:t>
      </w:r>
      <w:r>
        <w:rPr>
          <w:rFonts w:hint="eastAsia" w:ascii="仿宋_GB2312" w:hAnsi="仿宋" w:cs="Times New Roman"/>
          <w:color w:val="auto"/>
          <w:szCs w:val="32"/>
          <w:u w:val="none"/>
        </w:rPr>
        <w:t>。决算数</w:t>
      </w:r>
      <w:r>
        <w:rPr>
          <w:rFonts w:hint="eastAsia" w:ascii="仿宋_GB2312" w:hAnsi="仿宋" w:cs="Times New Roman"/>
          <w:color w:val="auto"/>
          <w:szCs w:val="32"/>
          <w:u w:val="none"/>
          <w:lang w:eastAsia="zh-CN"/>
        </w:rPr>
        <w:t>较上年减少</w:t>
      </w:r>
      <w:r>
        <w:rPr>
          <w:rFonts w:hint="eastAsia" w:ascii="仿宋_GB2312" w:hAnsi="仿宋" w:cs="Times New Roman"/>
          <w:color w:val="auto"/>
          <w:szCs w:val="32"/>
          <w:u w:val="none"/>
        </w:rPr>
        <w:t>的主要原因是</w:t>
      </w:r>
      <w:r>
        <w:rPr>
          <w:rFonts w:hint="eastAsia" w:ascii="仿宋_GB2312" w:hAnsi="仿宋" w:cs="Times New Roman"/>
          <w:szCs w:val="32"/>
          <w:lang w:eastAsia="zh-CN"/>
        </w:rPr>
        <w:t>节省公务接待开支，</w:t>
      </w:r>
      <w:r>
        <w:rPr>
          <w:rFonts w:hint="eastAsia" w:ascii="仿宋_GB2312" w:hAnsi="仿宋" w:cs="Times New Roman"/>
          <w:szCs w:val="32"/>
        </w:rPr>
        <w:t>公务接待费用减少。</w:t>
      </w:r>
      <w:r>
        <w:rPr>
          <w:rFonts w:hint="eastAsia" w:ascii="仿宋_GB2312" w:hAnsi="仿宋" w:cs="Times New Roman"/>
          <w:color w:val="auto"/>
          <w:szCs w:val="32"/>
          <w:lang w:eastAsia="zh-CN"/>
        </w:rPr>
        <w:t>202</w:t>
      </w:r>
      <w:r>
        <w:rPr>
          <w:rFonts w:hint="eastAsia" w:ascii="仿宋_GB2312" w:hAnsi="仿宋" w:cs="Times New Roman"/>
          <w:color w:val="auto"/>
          <w:szCs w:val="32"/>
          <w:lang w:val="en-US" w:eastAsia="zh-CN"/>
        </w:rPr>
        <w:t>3</w:t>
      </w:r>
      <w:r>
        <w:rPr>
          <w:rFonts w:hint="eastAsia" w:ascii="仿宋_GB2312" w:hAnsi="仿宋" w:cs="Times New Roman"/>
          <w:color w:val="auto"/>
          <w:szCs w:val="32"/>
        </w:rPr>
        <w:t>年</w:t>
      </w:r>
      <w:r>
        <w:rPr>
          <w:rFonts w:hint="eastAsia" w:ascii="仿宋_GB2312" w:hAnsi="仿宋" w:cs="Times New Roman"/>
          <w:color w:val="auto"/>
          <w:szCs w:val="32"/>
          <w:lang w:eastAsia="zh-CN"/>
        </w:rPr>
        <w:t>黟县民政局</w:t>
      </w:r>
      <w:r>
        <w:rPr>
          <w:rFonts w:hint="eastAsia" w:ascii="仿宋_GB2312" w:hAnsi="仿宋" w:cs="Times New Roman"/>
          <w:color w:val="auto"/>
          <w:szCs w:val="32"/>
        </w:rPr>
        <w:t>国内公务接待共</w:t>
      </w:r>
      <w:r>
        <w:rPr>
          <w:rFonts w:hint="eastAsia" w:ascii="仿宋_GB2312" w:hAnsi="仿宋" w:cs="Times New Roman"/>
          <w:color w:val="auto"/>
          <w:szCs w:val="32"/>
          <w:lang w:val="en-US" w:eastAsia="zh-CN"/>
        </w:rPr>
        <w:t>86</w:t>
      </w:r>
      <w:r>
        <w:rPr>
          <w:rFonts w:hint="eastAsia" w:ascii="仿宋_GB2312" w:hAnsi="仿宋" w:cs="Times New Roman"/>
          <w:color w:val="auto"/>
          <w:szCs w:val="32"/>
        </w:rPr>
        <w:t>批次，</w:t>
      </w:r>
      <w:r>
        <w:rPr>
          <w:rFonts w:hint="eastAsia" w:ascii="仿宋_GB2312" w:hAnsi="仿宋" w:cs="Times New Roman"/>
          <w:color w:val="auto"/>
          <w:szCs w:val="32"/>
          <w:lang w:val="en-US" w:eastAsia="zh-CN"/>
        </w:rPr>
        <w:t>613</w:t>
      </w:r>
      <w:r>
        <w:rPr>
          <w:rFonts w:hint="eastAsia" w:ascii="仿宋_GB2312" w:hAnsi="仿宋" w:cs="Times New Roman"/>
          <w:color w:val="auto"/>
          <w:szCs w:val="32"/>
        </w:rPr>
        <w:t>人次。主要是用于</w:t>
      </w:r>
      <w:r>
        <w:rPr>
          <w:rFonts w:hint="eastAsia" w:ascii="仿宋_GB2312" w:hAnsi="微软雅黑" w:cs="Times New Roman"/>
          <w:szCs w:val="32"/>
        </w:rPr>
        <w:t>接待上级工作调研、指导、考核、评估，外县单位业务交流和乡镇、村工作对接等公务往来支出</w:t>
      </w:r>
      <w:r>
        <w:rPr>
          <w:rFonts w:hint="eastAsia" w:ascii="仿宋_GB2312" w:hAnsi="仿宋" w:cs="Times New Roman"/>
          <w:color w:val="auto"/>
          <w:szCs w:val="32"/>
        </w:rPr>
        <w:t>。经费使用贯彻中央八项规定精神，严格执行《党政机关厉行节约反对浪费条例》《黄山市党政机关国内公务接待管理细则》（黄办〔2014〕21号）、《关于进一步加强公务接待经费管理的通知》（黄财行〔2015〕315号）等相关规定。</w:t>
      </w:r>
    </w:p>
    <w:p w14:paraId="2940883E">
      <w:pPr>
        <w:ind w:firstLine="643" w:firstLineChars="200"/>
        <w:rPr>
          <w:rFonts w:hint="eastAsia" w:ascii="Times New Roman" w:hAnsi="Times New Roman" w:cs="Times New Roman"/>
          <w:color w:val="auto"/>
        </w:rPr>
      </w:pPr>
      <w:r>
        <w:rPr>
          <w:rFonts w:hint="eastAsia" w:ascii="仿宋_GB2312" w:hAnsi="仿宋_GB2312" w:eastAsia="仿宋_GB2312" w:cs="仿宋_GB2312"/>
          <w:b/>
          <w:bCs/>
          <w:sz w:val="32"/>
          <w:szCs w:val="32"/>
        </w:rPr>
        <w:t>3.公务用车购置及运行维护费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1.96</w:t>
      </w:r>
      <w:r>
        <w:rPr>
          <w:rFonts w:hint="eastAsia" w:ascii="仿宋_GB2312" w:hAnsi="仿宋_GB2312" w:eastAsia="仿宋_GB2312" w:cs="仿宋_GB2312"/>
          <w:sz w:val="32"/>
          <w:szCs w:val="32"/>
        </w:rPr>
        <w:t xml:space="preserve">万元，支出决算为 </w:t>
      </w:r>
      <w:r>
        <w:rPr>
          <w:rFonts w:hint="eastAsia" w:ascii="仿宋_GB2312" w:hAnsi="仿宋_GB2312" w:eastAsia="仿宋_GB2312" w:cs="仿宋_GB2312"/>
          <w:sz w:val="32"/>
          <w:szCs w:val="32"/>
          <w:lang w:val="en-US" w:eastAsia="zh-CN"/>
        </w:rPr>
        <w:t>1.96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 w:cs="Times New Roman"/>
          <w:color w:val="auto"/>
          <w:szCs w:val="32"/>
          <w:u w:val="none"/>
          <w:lang w:eastAsia="zh-CN"/>
        </w:rPr>
        <w:t>较上年减少</w:t>
      </w:r>
      <w:r>
        <w:rPr>
          <w:rFonts w:hint="eastAsia" w:ascii="仿宋_GB2312" w:hAnsi="仿宋" w:cs="Times New Roman"/>
          <w:color w:val="auto"/>
          <w:szCs w:val="32"/>
          <w:u w:val="none"/>
          <w:lang w:val="en-US" w:eastAsia="zh-CN"/>
        </w:rPr>
        <w:t>0.02</w:t>
      </w:r>
      <w:r>
        <w:rPr>
          <w:rFonts w:hint="eastAsia" w:ascii="仿宋_GB2312" w:hAnsi="仿宋" w:cs="Times New Roman"/>
          <w:color w:val="auto"/>
          <w:szCs w:val="32"/>
          <w:u w:val="none"/>
        </w:rPr>
        <w:t>万元</w:t>
      </w:r>
      <w:r>
        <w:rPr>
          <w:rFonts w:hint="eastAsia" w:ascii="仿宋_GB2312" w:hAnsi="仿宋" w:cs="Times New Roman"/>
          <w:color w:val="auto"/>
          <w:szCs w:val="32"/>
          <w:u w:val="none"/>
          <w:lang w:eastAsia="zh-CN"/>
        </w:rPr>
        <w:t>，下降</w:t>
      </w:r>
      <w:r>
        <w:rPr>
          <w:rFonts w:hint="eastAsia" w:ascii="仿宋_GB2312" w:hAnsi="仿宋" w:cs="Times New Roman"/>
          <w:color w:val="auto"/>
          <w:szCs w:val="32"/>
          <w:u w:val="none"/>
          <w:lang w:val="en-US" w:eastAsia="zh-CN"/>
        </w:rPr>
        <w:t>1%。</w:t>
      </w:r>
      <w:r>
        <w:rPr>
          <w:rFonts w:hint="eastAsia" w:ascii="仿宋_GB2312" w:hAnsi="仿宋" w:cs="Times New Roman"/>
          <w:color w:val="auto"/>
          <w:szCs w:val="32"/>
          <w:u w:val="none"/>
        </w:rPr>
        <w:t>决算数</w:t>
      </w:r>
      <w:r>
        <w:rPr>
          <w:rFonts w:hint="eastAsia" w:ascii="仿宋_GB2312" w:hAnsi="仿宋" w:cs="Times New Roman"/>
          <w:color w:val="auto"/>
          <w:szCs w:val="32"/>
          <w:u w:val="none"/>
          <w:lang w:eastAsia="zh-CN"/>
        </w:rPr>
        <w:t>等于</w:t>
      </w:r>
      <w:r>
        <w:rPr>
          <w:rFonts w:hint="eastAsia" w:ascii="仿宋_GB2312" w:hAnsi="仿宋" w:cs="Times New Roman"/>
          <w:color w:val="auto"/>
          <w:szCs w:val="32"/>
          <w:u w:val="none"/>
        </w:rPr>
        <w:t>预算数的主要原因是</w:t>
      </w:r>
      <w:r>
        <w:rPr>
          <w:rFonts w:hint="eastAsia" w:ascii="仿宋_GB2312" w:hAnsi="仿宋" w:cs="Times New Roman"/>
          <w:color w:val="auto"/>
          <w:szCs w:val="32"/>
          <w:u w:val="none"/>
          <w:lang w:eastAsia="zh-CN"/>
        </w:rPr>
        <w:t>预算数是按规定程序调整后的预算数</w:t>
      </w:r>
      <w:r>
        <w:rPr>
          <w:rFonts w:hint="eastAsia" w:ascii="仿宋_GB2312" w:hAnsi="仿宋" w:cs="Times New Roman"/>
          <w:color w:val="auto"/>
          <w:szCs w:val="32"/>
          <w:u w:val="none"/>
        </w:rPr>
        <w:t>。决算数</w:t>
      </w:r>
      <w:r>
        <w:rPr>
          <w:rFonts w:hint="eastAsia" w:ascii="仿宋_GB2312" w:hAnsi="仿宋" w:cs="Times New Roman"/>
          <w:color w:val="auto"/>
          <w:szCs w:val="32"/>
          <w:u w:val="none"/>
          <w:lang w:eastAsia="zh-CN"/>
        </w:rPr>
        <w:t>较上年减少</w:t>
      </w:r>
      <w:r>
        <w:rPr>
          <w:rFonts w:hint="eastAsia" w:ascii="仿宋_GB2312" w:hAnsi="仿宋" w:cs="Times New Roman"/>
          <w:color w:val="auto"/>
          <w:szCs w:val="32"/>
          <w:u w:val="none"/>
        </w:rPr>
        <w:t>的主要原因是</w:t>
      </w:r>
      <w:r>
        <w:rPr>
          <w:rFonts w:hint="eastAsia" w:ascii="仿宋_GB2312" w:hAnsi="仿宋" w:cs="Times New Roman"/>
          <w:color w:val="auto"/>
          <w:szCs w:val="32"/>
          <w:u w:val="none"/>
          <w:lang w:eastAsia="zh-CN"/>
        </w:rPr>
        <w:t>厉行节约，</w:t>
      </w:r>
      <w:r>
        <w:rPr>
          <w:rFonts w:hint="eastAsia" w:ascii="仿宋_GB2312" w:hAnsi="仿宋" w:cs="Times New Roman"/>
          <w:szCs w:val="32"/>
        </w:rPr>
        <w:t>公务用车使用次数减少</w:t>
      </w:r>
      <w:r>
        <w:rPr>
          <w:rFonts w:hint="eastAsia" w:ascii="仿宋_GB2312" w:hAnsi="仿宋" w:cs="Times New Roman"/>
          <w:color w:val="auto"/>
          <w:szCs w:val="32"/>
          <w:u w:val="none"/>
        </w:rPr>
        <w:t>。</w:t>
      </w:r>
      <w:r>
        <w:rPr>
          <w:rFonts w:hint="eastAsia" w:ascii="仿宋_GB2312" w:hAnsi="仿宋" w:cs="Times New Roman"/>
          <w:color w:val="auto"/>
          <w:szCs w:val="32"/>
        </w:rPr>
        <w:t>其中，</w:t>
      </w:r>
      <w:r>
        <w:rPr>
          <w:rFonts w:hint="eastAsia" w:ascii="仿宋_GB2312" w:hAnsi="仿宋" w:cs="Times New Roman"/>
          <w:szCs w:val="32"/>
        </w:rPr>
        <w:t>202</w:t>
      </w:r>
      <w:r>
        <w:rPr>
          <w:rFonts w:hint="eastAsia" w:ascii="仿宋_GB2312" w:hAnsi="仿宋" w:cs="Times New Roman"/>
          <w:szCs w:val="32"/>
          <w:lang w:val="en-US" w:eastAsia="zh-CN"/>
        </w:rPr>
        <w:t>3</w:t>
      </w:r>
      <w:r>
        <w:rPr>
          <w:rFonts w:hint="eastAsia" w:ascii="仿宋_GB2312" w:hAnsi="仿宋" w:cs="Times New Roman"/>
          <w:szCs w:val="32"/>
        </w:rPr>
        <w:t>年没有安排公务用车购置费</w:t>
      </w:r>
      <w:r>
        <w:rPr>
          <w:rFonts w:hint="eastAsia" w:ascii="仿宋_GB2312" w:hAnsi="仿宋" w:cs="Times New Roman"/>
          <w:szCs w:val="32"/>
          <w:lang w:eastAsia="zh-CN"/>
        </w:rPr>
        <w:t>。</w:t>
      </w:r>
      <w:r>
        <w:rPr>
          <w:rFonts w:hint="eastAsia" w:ascii="仿宋_GB2312" w:hAnsi="仿宋" w:cs="Times New Roman"/>
          <w:color w:val="auto"/>
          <w:szCs w:val="32"/>
        </w:rPr>
        <w:t>公务用车运行维护费</w:t>
      </w:r>
      <w:r>
        <w:rPr>
          <w:rFonts w:hint="eastAsia" w:ascii="仿宋_GB2312" w:hAnsi="仿宋" w:cs="Times New Roman"/>
          <w:color w:val="auto"/>
          <w:szCs w:val="32"/>
          <w:lang w:eastAsia="zh-CN"/>
        </w:rPr>
        <w:t>预算为</w:t>
      </w:r>
      <w:r>
        <w:rPr>
          <w:rFonts w:hint="eastAsia" w:ascii="仿宋_GB2312" w:hAnsi="仿宋" w:cs="Times New Roman"/>
          <w:color w:val="auto"/>
          <w:szCs w:val="32"/>
          <w:lang w:val="en-US" w:eastAsia="zh-CN"/>
        </w:rPr>
        <w:t>1.96</w:t>
      </w:r>
      <w:r>
        <w:rPr>
          <w:rFonts w:hint="eastAsia" w:ascii="仿宋_GB2312" w:hAnsi="仿宋" w:cs="Times New Roman"/>
          <w:color w:val="auto"/>
          <w:szCs w:val="32"/>
          <w:lang w:eastAsia="zh-CN"/>
        </w:rPr>
        <w:t>万元，支出决算为</w:t>
      </w:r>
      <w:r>
        <w:rPr>
          <w:rFonts w:hint="eastAsia" w:ascii="仿宋_GB2312" w:hAnsi="仿宋" w:cs="Times New Roman"/>
          <w:color w:val="auto"/>
          <w:szCs w:val="32"/>
          <w:lang w:val="en-US" w:eastAsia="zh-CN"/>
        </w:rPr>
        <w:t>1.96万元</w:t>
      </w:r>
      <w:r>
        <w:rPr>
          <w:rFonts w:hint="eastAsia" w:ascii="仿宋_GB2312" w:hAnsi="仿宋" w:cs="Times New Roman"/>
          <w:color w:val="auto"/>
          <w:szCs w:val="32"/>
          <w:lang w:eastAsia="zh-CN"/>
        </w:rPr>
        <w:t>，完成预算的</w:t>
      </w:r>
      <w:r>
        <w:rPr>
          <w:rFonts w:hint="eastAsia" w:ascii="仿宋_GB2312" w:hAnsi="仿宋" w:cs="Times New Roman"/>
          <w:color w:val="auto"/>
          <w:szCs w:val="32"/>
          <w:lang w:val="en-US" w:eastAsia="zh-CN"/>
        </w:rPr>
        <w:t>100</w:t>
      </w:r>
      <w:r>
        <w:rPr>
          <w:rFonts w:hint="eastAsia" w:ascii="仿宋_GB2312" w:hAnsi="仿宋" w:cs="Times New Roman"/>
          <w:color w:val="auto"/>
          <w:szCs w:val="32"/>
          <w:lang w:eastAsia="zh-CN"/>
        </w:rPr>
        <w:t>%；</w:t>
      </w:r>
      <w:r>
        <w:rPr>
          <w:rFonts w:hint="eastAsia" w:ascii="仿宋_GB2312" w:hAnsi="仿宋" w:cs="Times New Roman"/>
          <w:color w:val="auto"/>
          <w:szCs w:val="32"/>
          <w:u w:val="none"/>
          <w:lang w:eastAsia="zh-CN"/>
        </w:rPr>
        <w:t>较上年减少</w:t>
      </w:r>
      <w:r>
        <w:rPr>
          <w:rFonts w:hint="eastAsia" w:ascii="仿宋_GB2312" w:hAnsi="仿宋" w:cs="Times New Roman"/>
          <w:color w:val="auto"/>
          <w:szCs w:val="32"/>
          <w:u w:val="none"/>
          <w:lang w:val="en-US" w:eastAsia="zh-CN"/>
        </w:rPr>
        <w:t>0.02</w:t>
      </w:r>
      <w:r>
        <w:rPr>
          <w:rFonts w:hint="eastAsia" w:ascii="仿宋_GB2312" w:hAnsi="仿宋" w:cs="Times New Roman"/>
          <w:color w:val="auto"/>
          <w:szCs w:val="32"/>
          <w:u w:val="none"/>
        </w:rPr>
        <w:t>万元</w:t>
      </w:r>
      <w:r>
        <w:rPr>
          <w:rFonts w:hint="eastAsia" w:ascii="仿宋_GB2312" w:hAnsi="仿宋" w:cs="Times New Roman"/>
          <w:color w:val="auto"/>
          <w:szCs w:val="32"/>
          <w:u w:val="none"/>
          <w:lang w:eastAsia="zh-CN"/>
        </w:rPr>
        <w:t>，下降</w:t>
      </w:r>
      <w:r>
        <w:rPr>
          <w:rFonts w:hint="eastAsia" w:ascii="仿宋_GB2312" w:hAnsi="仿宋" w:cs="Times New Roman"/>
          <w:color w:val="auto"/>
          <w:szCs w:val="32"/>
          <w:u w:val="none"/>
          <w:lang w:val="en-US" w:eastAsia="zh-CN"/>
        </w:rPr>
        <w:t>1%。</w:t>
      </w:r>
      <w:r>
        <w:rPr>
          <w:rFonts w:hint="eastAsia" w:ascii="仿宋_GB2312" w:hAnsi="仿宋" w:cs="Times New Roman"/>
          <w:color w:val="auto"/>
          <w:szCs w:val="32"/>
          <w:u w:val="none"/>
        </w:rPr>
        <w:t>决算数</w:t>
      </w:r>
      <w:r>
        <w:rPr>
          <w:rFonts w:hint="eastAsia" w:ascii="仿宋_GB2312" w:hAnsi="仿宋" w:cs="Times New Roman"/>
          <w:color w:val="auto"/>
          <w:szCs w:val="32"/>
          <w:u w:val="none"/>
          <w:lang w:eastAsia="zh-CN"/>
        </w:rPr>
        <w:t>等于</w:t>
      </w:r>
      <w:r>
        <w:rPr>
          <w:rFonts w:hint="eastAsia" w:ascii="仿宋_GB2312" w:hAnsi="仿宋" w:cs="Times New Roman"/>
          <w:color w:val="auto"/>
          <w:szCs w:val="32"/>
          <w:u w:val="none"/>
        </w:rPr>
        <w:t>预算数的主要原因是</w:t>
      </w:r>
      <w:r>
        <w:rPr>
          <w:rFonts w:hint="eastAsia" w:ascii="仿宋_GB2312" w:hAnsi="仿宋" w:cs="Times New Roman"/>
          <w:color w:val="auto"/>
          <w:szCs w:val="32"/>
          <w:u w:val="none"/>
          <w:lang w:eastAsia="zh-CN"/>
        </w:rPr>
        <w:t>预算数是按规定程序调整后的预算数</w:t>
      </w:r>
      <w:r>
        <w:rPr>
          <w:rFonts w:hint="eastAsia" w:ascii="仿宋_GB2312" w:hAnsi="仿宋" w:cs="Times New Roman"/>
          <w:color w:val="auto"/>
          <w:szCs w:val="32"/>
          <w:u w:val="none"/>
        </w:rPr>
        <w:t>。决算数</w:t>
      </w:r>
      <w:r>
        <w:rPr>
          <w:rFonts w:hint="eastAsia" w:ascii="仿宋_GB2312" w:hAnsi="仿宋" w:cs="Times New Roman"/>
          <w:color w:val="auto"/>
          <w:szCs w:val="32"/>
          <w:u w:val="none"/>
          <w:lang w:eastAsia="zh-CN"/>
        </w:rPr>
        <w:t>较上年减少</w:t>
      </w:r>
      <w:r>
        <w:rPr>
          <w:rFonts w:hint="eastAsia" w:ascii="仿宋_GB2312" w:hAnsi="仿宋" w:cs="Times New Roman"/>
          <w:color w:val="auto"/>
          <w:szCs w:val="32"/>
          <w:u w:val="none"/>
        </w:rPr>
        <w:t>的主要原因是</w:t>
      </w:r>
      <w:r>
        <w:rPr>
          <w:rFonts w:hint="eastAsia" w:ascii="仿宋_GB2312" w:hAnsi="仿宋" w:cs="Times New Roman"/>
          <w:color w:val="auto"/>
          <w:szCs w:val="32"/>
          <w:u w:val="none"/>
          <w:lang w:eastAsia="zh-CN"/>
        </w:rPr>
        <w:t>厉行节约，</w:t>
      </w:r>
      <w:r>
        <w:rPr>
          <w:rFonts w:hint="eastAsia" w:ascii="仿宋_GB2312" w:hAnsi="仿宋" w:cs="Times New Roman"/>
          <w:szCs w:val="32"/>
        </w:rPr>
        <w:t>公务用车使用次数减少</w:t>
      </w:r>
      <w:r>
        <w:rPr>
          <w:rFonts w:hint="eastAsia" w:ascii="仿宋_GB2312" w:hAnsi="仿宋" w:cs="Times New Roman"/>
          <w:color w:val="auto"/>
          <w:szCs w:val="32"/>
          <w:u w:val="none"/>
        </w:rPr>
        <w:t>。</w:t>
      </w:r>
      <w:r>
        <w:rPr>
          <w:rFonts w:hint="eastAsia" w:ascii="仿宋_GB2312" w:hAnsi="仿宋" w:cs="Times New Roman"/>
          <w:color w:val="auto"/>
          <w:szCs w:val="32"/>
        </w:rPr>
        <w:t>公务用车运行维护费，包括车辆燃料费、维修费、过路过桥费、保险费等支出，主要用于</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shd w:val="clear" w:color="auto" w:fill="FFFFFF"/>
        </w:rPr>
        <w:t>民政局社会救助入户核查、救灾核查以及村务公开检查指导等</w:t>
      </w:r>
      <w:r>
        <w:rPr>
          <w:rFonts w:hint="eastAsia" w:ascii="仿宋_GB2312" w:hAnsi="仿宋_GB2312" w:eastAsia="仿宋_GB2312" w:cs="仿宋_GB2312"/>
          <w:color w:val="auto"/>
          <w:sz w:val="32"/>
          <w:szCs w:val="32"/>
        </w:rPr>
        <w:t>。</w:t>
      </w:r>
      <w:r>
        <w:rPr>
          <w:rFonts w:hint="eastAsia" w:ascii="仿宋_GB2312" w:hAnsi="仿宋" w:cs="Times New Roman"/>
          <w:color w:val="auto"/>
          <w:szCs w:val="32"/>
        </w:rPr>
        <w:t>截至</w:t>
      </w:r>
      <w:r>
        <w:rPr>
          <w:rFonts w:hint="eastAsia" w:ascii="仿宋_GB2312" w:hAnsi="仿宋" w:cs="Times New Roman"/>
          <w:color w:val="auto"/>
          <w:szCs w:val="32"/>
          <w:lang w:eastAsia="zh-CN"/>
        </w:rPr>
        <w:t>202</w:t>
      </w:r>
      <w:r>
        <w:rPr>
          <w:rFonts w:hint="eastAsia" w:ascii="仿宋_GB2312" w:hAnsi="仿宋" w:cs="Times New Roman"/>
          <w:color w:val="auto"/>
          <w:szCs w:val="32"/>
          <w:lang w:val="en-US" w:eastAsia="zh-CN"/>
        </w:rPr>
        <w:t>3</w:t>
      </w:r>
      <w:r>
        <w:rPr>
          <w:rFonts w:hint="eastAsia" w:ascii="仿宋_GB2312" w:hAnsi="仿宋" w:cs="Times New Roman"/>
          <w:color w:val="auto"/>
          <w:szCs w:val="32"/>
        </w:rPr>
        <w:t>年12月31日，</w:t>
      </w:r>
      <w:r>
        <w:rPr>
          <w:rFonts w:hint="eastAsia" w:ascii="仿宋_GB2312" w:hAnsi="仿宋" w:cs="Times New Roman"/>
          <w:color w:val="auto"/>
          <w:szCs w:val="32"/>
          <w:lang w:eastAsia="zh-CN"/>
        </w:rPr>
        <w:t>黟县民政局</w:t>
      </w:r>
      <w:r>
        <w:rPr>
          <w:rFonts w:hint="eastAsia" w:ascii="仿宋_GB2312" w:hAnsi="仿宋" w:cs="Times New Roman"/>
          <w:color w:val="auto"/>
          <w:szCs w:val="32"/>
        </w:rPr>
        <w:t>机关开支财政拨款的公务用车保有量为</w:t>
      </w:r>
      <w:r>
        <w:rPr>
          <w:rFonts w:hint="eastAsia" w:ascii="仿宋_GB2312" w:hAnsi="仿宋" w:cs="Times New Roman"/>
          <w:color w:val="auto"/>
          <w:szCs w:val="32"/>
          <w:lang w:val="en-US" w:eastAsia="zh-CN"/>
        </w:rPr>
        <w:t>1</w:t>
      </w:r>
      <w:r>
        <w:rPr>
          <w:rFonts w:hint="eastAsia" w:ascii="仿宋_GB2312" w:hAnsi="仿宋" w:cs="Times New Roman"/>
          <w:color w:val="auto"/>
          <w:szCs w:val="32"/>
        </w:rPr>
        <w:t>辆。</w:t>
      </w:r>
    </w:p>
    <w:p w14:paraId="6172E5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YjUyNGM5MGE1MjZjODk0YzM3YmIwNTBmNjkzOGMifQ=="/>
  </w:docVars>
  <w:rsids>
    <w:rsidRoot w:val="00000000"/>
    <w:rsid w:val="7AFE4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2024-10-10T01:51:22Z</dcterms:created>
  <dc:creator>Administrator</dc:creator>
  <cp:lastModifiedBy>葵开向阳</cp:lastModifiedBy>
  <dcterms:modified xsi:type="dcterms:W3CDTF">2024-10-10T01:52:05Z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7520A7BB1F1148439CDB6A6BA8C3728D_12</vt:lpwstr>
  </property>
</Properties>
</file>