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皖财综〔2021〕86号</w:t>
      </w:r>
    </w:p>
    <w:bookmarkEnd w:id="0"/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44"/>
          <w:szCs w:val="44"/>
        </w:rPr>
        <w:t>安徽省财政厅关于水利建设基金有关事项的通知</w:t>
      </w:r>
      <w:r>
        <w:rPr>
          <w:rFonts w:hint="eastAsia"/>
          <w:sz w:val="44"/>
          <w:szCs w:val="44"/>
        </w:rPr>
        <w:br w:type="textWrapping"/>
      </w:r>
      <w:r>
        <w:rPr>
          <w:rFonts w:hint="eastAsia"/>
          <w:sz w:val="44"/>
          <w:szCs w:val="44"/>
        </w:rPr>
        <w:br w:type="textWrapping"/>
      </w:r>
      <w:r>
        <w:rPr>
          <w:rFonts w:hint="eastAsia"/>
          <w:sz w:val="32"/>
          <w:szCs w:val="32"/>
        </w:rPr>
        <w:t>省税务局、省自然资源厅，各市、县（区）财政局：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 HYPERLINK "https://www.waizi.org.cn/doc/97639.html" </w:instrText>
      </w:r>
      <w:r>
        <w:rPr>
          <w:rFonts w:hint="eastAsia"/>
          <w:sz w:val="32"/>
          <w:szCs w:val="32"/>
        </w:rPr>
        <w:fldChar w:fldCharType="separate"/>
      </w:r>
      <w:r>
        <w:rPr>
          <w:rFonts w:hint="eastAsia"/>
          <w:sz w:val="32"/>
          <w:szCs w:val="32"/>
        </w:rPr>
        <w:t>《财政部关于民航发展基金等3项政府性基金有关政策的通知》（财税〔2020〕72号）</w: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规定，经省政府同意，我省继续按照《安徽省人民政府关于印发〈</w:t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 HYPERLINK "https://www.waizi.org.cn/policy/63493.html" \o "皖政〔2012〕54号《安徽省人民政府关于印发〈安徽省地方水利建设基金筹集和使用管理办法〉的通知》" \t "https://www.waizi.org.cn/policy/_blank" </w:instrText>
      </w:r>
      <w:r>
        <w:rPr>
          <w:rFonts w:hint="eastAsia"/>
          <w:sz w:val="32"/>
          <w:szCs w:val="32"/>
        </w:rPr>
        <w:fldChar w:fldCharType="separate"/>
      </w:r>
      <w:r>
        <w:rPr>
          <w:rFonts w:hint="eastAsia"/>
          <w:sz w:val="32"/>
          <w:szCs w:val="32"/>
        </w:rPr>
        <w:t>安徽省地方水利建设基金筹集和使用管理办法</w: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〉的通知》（</w:t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 HYPERLINK "https://www.waizi.org.cn/policy/63493.html" \o "皖政〔2012〕54号《安徽省人民政府关于印发〈安徽省地方水利建设基金筹集和使用管理办法〉的通知》" \t "https://www.waizi.org.cn/policy/_blank" </w:instrText>
      </w:r>
      <w:r>
        <w:rPr>
          <w:rFonts w:hint="eastAsia"/>
          <w:sz w:val="32"/>
          <w:szCs w:val="32"/>
        </w:rPr>
        <w:fldChar w:fldCharType="separate"/>
      </w:r>
      <w:r>
        <w:rPr>
          <w:rFonts w:hint="eastAsia"/>
          <w:sz w:val="32"/>
          <w:szCs w:val="32"/>
        </w:rPr>
        <w:t>皖政〔2012〕54号</w: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）规定，征收水利建设基金。具体征收使用政策按照现行规定执行。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>上述政策截止日期，根据国家规定另行明确。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br w:type="textWrapping"/>
      </w:r>
    </w:p>
    <w:p>
      <w:pPr>
        <w:ind w:left="0" w:leftChars="0" w:firstLine="5459" w:firstLineChars="170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安徽省财政厅</w:t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</w:rPr>
        <w:t>2021年2月8日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4D1D396A"/>
    <w:rsid w:val="4D1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2024-12-17T09:25:00Z</dcterms:created>
  <dc:creator>零开始1397739712</dc:creator>
  <cp:lastModifiedBy>零开始1397739712</cp:lastModifiedBy>
  <dcterms:modified xsi:type="dcterms:W3CDTF">2024-12-17T09:27:05Z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31AA4C82827945A393BFC6BBE76A160A_11</vt:lpwstr>
  </property>
</Properties>
</file>