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财税[2018]39号</w:t>
      </w:r>
    </w:p>
    <w:bookmarkEnd w:id="0"/>
    <w:p>
      <w:pPr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44"/>
          <w:szCs w:val="44"/>
        </w:rPr>
        <w:t>财政部关于降低部分政府性基金征收标准的通知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发展改革委、水利部、国家税务总局、中国残联，国家电网公司、中国南方电网有限责任公司，各省、自治区、直辖市财政厅（局），新疆生产建设兵团财政局，财政部驻各省、自治区、直辖市财政监察专员办事处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为进一步减轻社会负担，支持实体经济发展，现就降低部分政府性基金征收标准有关政策通知如下：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自2018年4月1日起，将残疾人就业保障金征收标准上限，由当地社会平均工资的3倍降低至2倍。其中，用人单位在职职工平均工资未超过当地社会平均工资2倍（含）的，按用人单位在职职工年平均工资计征残疾人就业保障金；超过当地社会平均工资2倍的，按当地社会平均工资2倍计征残疾人就业保障金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征收标准降低后南水北调、三峡后续规划等中央支出缺口，在适度压减支出、统筹现有资金渠道予以支持的基础上，由中央财政通过其他方式予以适当弥补。地方支出缺口，由地方财政统筹解决。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三、各地区、各有关部门和单位应当按照本通知规定，及时制定出台相关配套措施，确保上述政策落实到位。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财政部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2018年4月13日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75C9433F"/>
    <w:rsid w:val="75C9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2024-12-18T03:17:00Z</dcterms:created>
  <dc:creator>零开始1397739712</dc:creator>
  <cp:lastModifiedBy>零开始1397739712</cp:lastModifiedBy>
  <dcterms:modified xsi:type="dcterms:W3CDTF">2024-12-18T03:18:17Z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B23AA7ABBE3146CDA35DAC9F78CB13E7_11</vt:lpwstr>
  </property>
</Properties>
</file>