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40" w:firstLineChars="200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 xml:space="preserve">财政部 国家税务总局 海关总署公告2014年第29号  </w:t>
      </w:r>
      <w:bookmarkEnd w:id="0"/>
      <w:r>
        <w:rPr>
          <w:rFonts w:hint="eastAsia"/>
          <w:sz w:val="32"/>
          <w:szCs w:val="32"/>
        </w:rPr>
        <w:t> </w:t>
      </w:r>
    </w:p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</w:p>
    <w:p>
      <w:pPr>
        <w:ind w:left="0" w:leftChars="0" w:firstLine="720" w:firstLineChars="2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财政部 国家税务总局 海关总署关于进（来）料受托加工复出口免征基金有关问题公告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为了完善废弃电器电子产品处理基金（以下简称基金）征收政策，现就进（来）料受托加工复出口免征基金有关问题公告如下：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一、基金缴纳义务人（以下称受托方）受外贸公司（以下称委托方）委托加工电器电子产品，其海关贸易方式为“进料加工”或“来料加工”且由委托方收回后复出口的，免征基金。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二、海关贸易方式为“进料加工”的，受托方受托加工业务免征基金，应当同时符合以下条件：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（一）委托方拥有加工贸易业务批准证（已取消商务主管部门加工贸易业务批准证的省份除外）。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（二）受托方提供与委托方签订的加工贸易合同备案委托书、协议书等证明业务真实发生的资料。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（三）委托方进料加工手（帐）册注明的加工单位是该受托方。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（四）受托方向委托方开具增值税专用发票收取加工费（含辅料费等相关费用）。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（五）原材料进口报关单上注明收货单位为该受托方。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（六）委托方出口电器电子产品，出口报关单备案号栏中载明的加工手（帐）册号与本款第三项中加工手（帐）册号一致，且注明发货单位为该受托方。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海关贸易方式为“来料加工”的，受托方受托加工业务免征基金，应当取得委托方税务机关出具的《来料加工免税证明》。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受托方按照《废弃电器电子产品处理基金征收管理规定》（国家税务总局公告2012年第41号）第八条的规定确定基金缴纳义务发生时间，申报免征基金，将免征数量填入“废弃电器电子产品处理基金申报表”第四栏“出口免征销售数量”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四、受托加工产品未能复出口的，由海关在办理内销征税时一并补征基金。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五、委托方应及时将有关单证交受托方。委托方、受托方均应妥善保管进出口业务相关资料，以备税务机关、海关核查。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六、本公告自2014年6月1日起施行。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财政部 国家税务总局 海关总署</w:t>
      </w:r>
    </w:p>
    <w:p>
      <w:p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2014年5月12日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5C0C38A7"/>
    <w:rsid w:val="5C0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2024-12-18T03:45:00Z</dcterms:created>
  <dc:creator>零开始1397739712</dc:creator>
  <cp:lastModifiedBy>零开始1397739712</cp:lastModifiedBy>
  <dcterms:modified xsi:type="dcterms:W3CDTF">2024-12-18T03:46:03Z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A7FE274EB7AD4C4FBE7B4365424DE0D4_11</vt:lpwstr>
  </property>
</Properties>
</file>