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2023年度县级部门（单位）决算公开</w:t>
      </w: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文本解读</w:t>
      </w:r>
    </w:p>
    <w:p>
      <w:pPr>
        <w:ind w:firstLine="301" w:firstLineChars="100"/>
        <w:rPr>
          <w:rFonts w:ascii="仿宋_GB2312" w:hAnsi="华文中宋" w:eastAsia="仿宋_GB2312"/>
          <w:b/>
          <w:bCs/>
          <w:color w:val="FF0000"/>
          <w:sz w:val="30"/>
          <w:szCs w:val="30"/>
        </w:rPr>
      </w:pPr>
      <w:r>
        <w:rPr>
          <w:rFonts w:hint="eastAsia" w:ascii="仿宋_GB2312" w:hAnsi="华文中宋" w:eastAsia="仿宋_GB2312"/>
          <w:b/>
          <w:bCs/>
          <w:color w:val="FF0000"/>
          <w:sz w:val="30"/>
          <w:szCs w:val="30"/>
        </w:rPr>
        <w:t>（流程按照8月23日人大审查通过县级决算、9月9日财政批复部门决算；部门和所属二级单位统一安排在9月26日进行部门决算公开。同时建议部门所属二级预算单位在9月13日统一批复）</w:t>
      </w:r>
    </w:p>
    <w:p>
      <w:pPr>
        <w:rPr>
          <w:sz w:val="30"/>
          <w:szCs w:val="30"/>
        </w:rPr>
      </w:pPr>
    </w:p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一、部门决算公开文本应设置封面及目录</w:t>
      </w:r>
    </w:p>
    <w:p>
      <w:pPr>
        <w:ind w:firstLine="600"/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color w:val="FF0000"/>
          <w:sz w:val="30"/>
          <w:szCs w:val="30"/>
        </w:rPr>
        <w:t>公开单位名称均应为全称，</w:t>
      </w:r>
      <w:r>
        <w:rPr>
          <w:rFonts w:hint="eastAsia" w:ascii="仿宋_GB2312" w:hAnsi="华文中宋" w:eastAsia="仿宋_GB2312"/>
          <w:color w:val="FF0000"/>
          <w:sz w:val="30"/>
          <w:szCs w:val="30"/>
        </w:rPr>
        <w:t>如县财政局应表述为“黟县财政局”。</w:t>
      </w:r>
    </w:p>
    <w:p>
      <w:pPr>
        <w:ind w:firstLine="6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二、第一部分 部门概况</w:t>
      </w:r>
    </w:p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  一、部门职责</w:t>
      </w:r>
    </w:p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  二、机构设置</w:t>
      </w:r>
    </w:p>
    <w:tbl>
      <w:tblPr>
        <w:tblStyle w:val="5"/>
        <w:tblW w:w="0" w:type="auto"/>
        <w:tblInd w:w="828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9"/>
        <w:gridCol w:w="583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exact"/>
        </w:trPr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firstLine="360" w:firstLineChars="1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58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exact"/>
        </w:trPr>
        <w:tc>
          <w:tcPr>
            <w:tcW w:w="13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5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黟县XX局本级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</w:trPr>
        <w:tc>
          <w:tcPr>
            <w:tcW w:w="13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5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……</w:t>
            </w:r>
          </w:p>
        </w:tc>
      </w:tr>
    </w:tbl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上述表格方框不能省略</w:t>
      </w:r>
    </w:p>
    <w:p>
      <w:pPr>
        <w:rPr>
          <w:rFonts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单位的构成应与部门决算编制单位、主管部门决算批复的单位保持一致，</w:t>
      </w:r>
      <w:r>
        <w:rPr>
          <w:rFonts w:hint="eastAsia" w:ascii="仿宋_GB2312" w:eastAsia="仿宋_GB2312"/>
          <w:b/>
          <w:bCs/>
          <w:sz w:val="30"/>
          <w:szCs w:val="30"/>
        </w:rPr>
        <w:t>如果与年初预算编制单位不一致，应说明差异原因。</w:t>
      </w:r>
    </w:p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三、第二部分</w:t>
      </w:r>
      <w:r>
        <w:rPr>
          <w:rFonts w:ascii="黑体" w:hAnsi="黑体" w:eastAsia="黑体" w:cs="黑体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</w:rPr>
        <w:t>黟县XX（部门、单位名称）2023年度部门（单位）决算报表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应将表格内嵌到文本当中去，要注重表格的规范性，尽量在一张表中展示；无法在一张表中展示的，要注意表格的连续性。文本转换成PDF版本后，要保证清晰可见。</w:t>
      </w:r>
    </w:p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四、第三部分 黟县XX（部门、单位名称）2023年度部门决算情况说明</w:t>
      </w:r>
    </w:p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单位撰写文本要注意，这部分内容的每一段均应与上述公开表格的每一张表相对应，保持数据的前后一致。</w:t>
      </w:r>
    </w:p>
    <w:p>
      <w:pPr>
        <w:ind w:firstLine="600" w:firstLineChars="200"/>
        <w:rPr>
          <w:rFonts w:ascii="仿宋_GB2312" w:hAnsi="华文中宋" w:eastAsia="仿宋_GB2312"/>
          <w:color w:val="FF0000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（一）“一、收入支出决算总体情况说明”</w:t>
      </w:r>
      <w:r>
        <w:rPr>
          <w:rFonts w:hint="eastAsia" w:ascii="仿宋_GB2312" w:eastAsia="仿宋_GB2312"/>
          <w:sz w:val="30"/>
          <w:szCs w:val="30"/>
        </w:rPr>
        <w:t>，要注意是全口径的概念，故收、支增减变动的数据和比例是一致的。</w:t>
      </w:r>
    </w:p>
    <w:p>
      <w:pPr>
        <w:ind w:firstLine="600" w:firstLineChars="200"/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（二）“二、收入决算情况说明”，</w:t>
      </w:r>
      <w:r>
        <w:rPr>
          <w:rFonts w:hint="eastAsia" w:ascii="仿宋_GB2312" w:eastAsia="仿宋_GB2312"/>
          <w:sz w:val="30"/>
          <w:szCs w:val="30"/>
        </w:rPr>
        <w:t>收入构成中，</w:t>
      </w:r>
      <w:r>
        <w:rPr>
          <w:rFonts w:hint="eastAsia" w:ascii="仿宋_GB2312" w:eastAsia="仿宋_GB2312"/>
          <w:b/>
          <w:bCs/>
          <w:sz w:val="30"/>
          <w:szCs w:val="30"/>
        </w:rPr>
        <w:t>如单位没有事业收入、经营收入等内容不删除，直接表述为事业收入为0，占比0%，经营收入为0，占比0%。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（三）“三、支出决算情况说明</w:t>
      </w:r>
      <w:r>
        <w:rPr>
          <w:rFonts w:hint="eastAsia" w:ascii="仿宋_GB2312" w:eastAsia="仿宋_GB2312"/>
          <w:sz w:val="30"/>
          <w:szCs w:val="30"/>
        </w:rPr>
        <w:t>”要求，与收入决算说明相关要求一致。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（四）“四、财政拨款收入支出决算总体情况说明”</w:t>
      </w:r>
      <w:r>
        <w:rPr>
          <w:rFonts w:hint="eastAsia" w:ascii="仿宋_GB2312" w:eastAsia="仿宋_GB2312"/>
          <w:sz w:val="30"/>
          <w:szCs w:val="30"/>
        </w:rPr>
        <w:t>要求，与收入支出决算总体情况说明要求一致，要注重说明原因的规范性和完整性。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（五）“五、一般公共预算财政拨款支出决算情况说明”</w:t>
      </w:r>
      <w:r>
        <w:rPr>
          <w:rFonts w:hint="eastAsia" w:ascii="仿宋_GB2312" w:eastAsia="仿宋_GB2312"/>
          <w:sz w:val="30"/>
          <w:szCs w:val="30"/>
        </w:rPr>
        <w:t>。要重点强调（二）一般公共预算财政拨款支出决算结构情况，没有的支出大类要删除；（三）一般公共预算财政拨款支出决算具体情况。要注意对类款项的说明是根据决算数来说明预算数的情况，如</w:t>
      </w:r>
      <w:r>
        <w:rPr>
          <w:rFonts w:hint="eastAsia" w:ascii="仿宋_GB2312" w:eastAsia="仿宋_GB2312"/>
          <w:b/>
          <w:sz w:val="30"/>
          <w:szCs w:val="30"/>
        </w:rPr>
        <w:t>一般公共服务（类）财政事务（款）行政运行（项），</w:t>
      </w:r>
      <w:r>
        <w:rPr>
          <w:rFonts w:hint="eastAsia" w:ascii="仿宋_GB2312" w:eastAsia="仿宋_GB2312"/>
          <w:b/>
          <w:bCs/>
          <w:sz w:val="30"/>
          <w:szCs w:val="30"/>
        </w:rPr>
        <w:t>如果年初预算为100万元，年末决算数是0，则不用说明</w:t>
      </w:r>
      <w:r>
        <w:rPr>
          <w:rFonts w:hint="eastAsia" w:ascii="仿宋_GB2312" w:eastAsia="仿宋_GB2312"/>
          <w:sz w:val="30"/>
          <w:szCs w:val="30"/>
        </w:rPr>
        <w:t>（也就是要删除“年初预算为100万元，年末决算数是0”内容）；如果年初预算0，年末决算数是100万元，则需说明。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在原因说明上，如果执行率不在99%-101%范围之内，则不能只表述执行率，还要根据执行比例说明增加或者减少的原因。如</w:t>
      </w:r>
      <w:r>
        <w:rPr>
          <w:rFonts w:hint="eastAsia" w:ascii="仿宋_GB2312" w:eastAsia="仿宋_GB2312"/>
          <w:b/>
          <w:sz w:val="30"/>
          <w:szCs w:val="30"/>
        </w:rPr>
        <w:t>一般公共服务（类）财政事务（款）行政运行（项）</w:t>
      </w:r>
      <w:r>
        <w:rPr>
          <w:rFonts w:hint="eastAsia" w:ascii="仿宋_GB2312" w:eastAsia="仿宋_GB2312"/>
          <w:sz w:val="30"/>
          <w:szCs w:val="30"/>
        </w:rPr>
        <w:t>，如果年初预算是100万元，年末决算是99万元，执行率为99%，则可表述为“</w:t>
      </w:r>
      <w:r>
        <w:rPr>
          <w:rFonts w:hint="eastAsia" w:ascii="仿宋_GB2312" w:eastAsia="仿宋_GB2312"/>
          <w:b/>
          <w:sz w:val="30"/>
          <w:szCs w:val="30"/>
        </w:rPr>
        <w:t>年初预算为100万元，支出决算为99万元，完成年初预算的99%。</w:t>
      </w:r>
      <w:r>
        <w:rPr>
          <w:rFonts w:hint="eastAsia" w:ascii="仿宋_GB2312" w:eastAsia="仿宋_GB2312"/>
          <w:sz w:val="30"/>
          <w:szCs w:val="30"/>
        </w:rPr>
        <w:t>”，如果执行率不在99%-101%的范围内，则表述为</w:t>
      </w:r>
      <w:r>
        <w:rPr>
          <w:rFonts w:hint="eastAsia" w:ascii="仿宋_GB2312" w:eastAsia="仿宋_GB2312"/>
          <w:b/>
          <w:sz w:val="30"/>
          <w:szCs w:val="30"/>
        </w:rPr>
        <w:t>“年初预算为100万元，支出决算为98万元，完成年初预算的98%，决算数小于预算数的原因是……</w:t>
      </w:r>
      <w:r>
        <w:rPr>
          <w:rFonts w:hint="eastAsia" w:ascii="仿宋_GB2312" w:eastAsia="仿宋_GB2312"/>
          <w:sz w:val="30"/>
          <w:szCs w:val="30"/>
        </w:rPr>
        <w:t>”。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（六）“六、一般公共预算财政拨款基本支出决算情况说明”</w:t>
      </w:r>
      <w:r>
        <w:rPr>
          <w:rFonts w:hint="eastAsia" w:ascii="仿宋_GB2312" w:hAnsi="仿宋" w:eastAsia="仿宋_GB2312"/>
          <w:sz w:val="30"/>
          <w:szCs w:val="30"/>
        </w:rPr>
        <w:t>。预算单位要根据具体支出情况，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对于基本支出经济分类科目金融为0的，应予以删除</w:t>
      </w:r>
      <w:r>
        <w:rPr>
          <w:rFonts w:hint="eastAsia" w:ascii="仿宋_GB2312" w:eastAsia="仿宋_GB2312"/>
          <w:color w:val="C00000"/>
          <w:sz w:val="30"/>
          <w:szCs w:val="30"/>
        </w:rPr>
        <w:t>（公开表与情况说明不一致的，预决检查公开检查将认定为问题）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（七）“七、政府性基金财政拨款收入支出决算情况说明”</w:t>
      </w:r>
      <w:r>
        <w:rPr>
          <w:rFonts w:hint="eastAsia" w:ascii="仿宋_GB2312" w:hAnsi="仿宋" w:eastAsia="仿宋_GB2312"/>
          <w:sz w:val="30"/>
          <w:szCs w:val="30"/>
        </w:rPr>
        <w:t>，有政府性基金科目收支的单位较少，没有政府性基金的单位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应在公开07表下方表述为“说明：XX局没有政府性基金预算收入，也没有使用政府性基金预算安排的支出，故本表无数据”。</w:t>
      </w:r>
      <w:r>
        <w:rPr>
          <w:rFonts w:hint="eastAsia" w:ascii="仿宋_GB2312" w:hAnsi="仿宋" w:eastAsia="仿宋_GB2312"/>
          <w:sz w:val="30"/>
          <w:szCs w:val="30"/>
        </w:rPr>
        <w:t>反之，有政府性基金科目收支的单位，应删除此项表述。</w:t>
      </w:r>
    </w:p>
    <w:p>
      <w:pPr>
        <w:ind w:firstLine="600" w:firstLineChars="200"/>
        <w:rPr>
          <w:rFonts w:ascii="仿宋_GB2312" w:hAnsi="仿宋" w:eastAsia="仿宋_GB2312"/>
          <w:b/>
          <w:bCs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同时，在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公开文本</w:t>
      </w:r>
      <w:r>
        <w:rPr>
          <w:rFonts w:hint="eastAsia" w:ascii="仿宋_GB2312" w:hAnsi="仿宋" w:eastAsia="仿宋_GB2312"/>
          <w:sz w:val="30"/>
          <w:szCs w:val="30"/>
        </w:rPr>
        <w:t xml:space="preserve">中也要有 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“XX局没有政府性基金预算收入，也没有使用政府性基金预算安排的支出”。</w:t>
      </w:r>
    </w:p>
    <w:p>
      <w:pPr>
        <w:ind w:firstLine="600" w:firstLineChars="200"/>
        <w:rPr>
          <w:rFonts w:ascii="仿宋_GB2312" w:hAnsi="仿宋" w:eastAsia="仿宋_GB2312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（八）“八、国有资本经营预算财政拨款支出决算情况说明”</w:t>
      </w:r>
      <w:r>
        <w:rPr>
          <w:rFonts w:hint="eastAsia" w:ascii="仿宋_GB2312" w:hAnsi="仿宋" w:eastAsia="仿宋_GB2312"/>
          <w:sz w:val="30"/>
          <w:szCs w:val="30"/>
        </w:rPr>
        <w:t>， 这张表我县所有单位均无数字，应均为空表公开，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故需要在公开08表下方表述为“说明：XX局没有使用国有资本经营预算安排的支出，故本表无数据”。</w:t>
      </w:r>
    </w:p>
    <w:p>
      <w:pPr>
        <w:ind w:firstLine="600" w:firstLineChars="200"/>
      </w:pPr>
      <w:r>
        <w:rPr>
          <w:rFonts w:hint="eastAsia" w:ascii="仿宋_GB2312" w:hAnsi="仿宋" w:eastAsia="仿宋_GB2312"/>
          <w:sz w:val="30"/>
          <w:szCs w:val="30"/>
        </w:rPr>
        <w:t>同时，应在公开文本中也要有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“XX局没有使用国有资本经营预算财政拨款安排的支出”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>
      <w:p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（九）“九、其他重要事项情况说明”</w:t>
      </w:r>
    </w:p>
    <w:p>
      <w:pPr>
        <w:ind w:firstLine="600" w:firstLineChars="200"/>
        <w:rPr>
          <w:rFonts w:ascii="仿宋_GB2312" w:hAnsi="仿宋" w:eastAsia="仿宋_GB2312"/>
          <w:b/>
          <w:bCs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1.机关运行经费支出情况。对于本级和所属单位均为事业单位，按照部门决算机关运行经费的口径，应表述为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“黟县XX局本级和所属单位均为事业单位，按照财政部部门决算机关运行经费的口径，本年度机关运行经费为0。”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2.政府采购支出情况。政府采购中，要明确授予中小微企业的比重。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3.国有资产占有使用情况。要按照2023年度部门决算资产分类的口径进行表述。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4.关于2023年度绩效评价情况。按照县预算绩效管理股提供的公开模板、预算绩效情况公开注意事项，做好预算绩效的公开，详见附件。如有疑问可联系县财政局预算绩效管理股（联系人：张灿，电话：5522993）。</w:t>
      </w:r>
    </w:p>
    <w:p>
      <w:p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五、第四部分 名词解释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公开单位应根据实际情况增减相应的名词解释，建议查看中央对口单位2023年度部门决算公开文本，参照增减名词解释。对本级和所属单位均为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行政单位的</w:t>
      </w:r>
      <w:r>
        <w:rPr>
          <w:rFonts w:hint="eastAsia" w:ascii="仿宋_GB2312" w:hAnsi="仿宋" w:eastAsia="仿宋_GB2312"/>
          <w:sz w:val="30"/>
          <w:szCs w:val="30"/>
        </w:rPr>
        <w:t>，应删除事业收入、经营收入等名词解释；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但所有公开单位，财政拨款收入、机关运行经费这两个名词解释不能删除。</w:t>
      </w:r>
    </w:p>
    <w:p>
      <w:p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六、一般公共预算财政拨款“三公”经费支出决算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（一）公开表格</w:t>
      </w:r>
    </w:p>
    <w:tbl>
      <w:tblPr>
        <w:tblStyle w:val="5"/>
        <w:tblpPr w:leftFromText="180" w:rightFromText="180" w:vertAnchor="text" w:horzAnchor="margin" w:tblpY="454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9"/>
        <w:gridCol w:w="2157"/>
        <w:gridCol w:w="2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项  目</w:t>
            </w:r>
          </w:p>
        </w:tc>
        <w:tc>
          <w:tcPr>
            <w:tcW w:w="2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预 算 数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决 算 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  计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因公出国（境）费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公务接待费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公务用车购置及运行维护费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其中：公务用车运行维护费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公务用车购置费 </w:t>
            </w:r>
          </w:p>
        </w:tc>
        <w:tc>
          <w:tcPr>
            <w:tcW w:w="2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</w:tbl>
    <w:p>
      <w:pPr>
        <w:ind w:firstLine="600" w:firstLineChars="200"/>
        <w:rPr>
          <w:rFonts w:ascii="仿宋_GB2312" w:hAnsi="仿宋" w:eastAsia="仿宋_GB2312"/>
          <w:color w:val="0000FF"/>
          <w:sz w:val="30"/>
          <w:szCs w:val="30"/>
        </w:rPr>
      </w:pPr>
      <w:r>
        <w:rPr>
          <w:rFonts w:ascii="仿宋_GB2312" w:hAnsi="仿宋" w:eastAsia="仿宋_GB2312"/>
          <w:sz w:val="30"/>
          <w:szCs w:val="30"/>
        </w:rPr>
        <w:t>“</w:t>
      </w:r>
      <w:r>
        <w:rPr>
          <w:rFonts w:hint="eastAsia" w:ascii="仿宋_GB2312" w:hAnsi="仿宋" w:eastAsia="仿宋_GB2312"/>
          <w:sz w:val="30"/>
          <w:szCs w:val="30"/>
        </w:rPr>
        <w:t>三公</w:t>
      </w:r>
      <w:r>
        <w:rPr>
          <w:rFonts w:ascii="仿宋_GB2312" w:hAnsi="仿宋" w:eastAsia="仿宋_GB2312"/>
          <w:sz w:val="30"/>
          <w:szCs w:val="30"/>
        </w:rPr>
        <w:t>”</w:t>
      </w:r>
      <w:r>
        <w:rPr>
          <w:rFonts w:hint="eastAsia" w:ascii="仿宋_GB2312" w:hAnsi="仿宋" w:eastAsia="仿宋_GB2312"/>
          <w:sz w:val="30"/>
          <w:szCs w:val="30"/>
        </w:rPr>
        <w:t>经费的预算数和决算数应在同一张表中展示，公开部门要注意上述表中的</w:t>
      </w:r>
      <w:r>
        <w:rPr>
          <w:rFonts w:ascii="仿宋_GB2312" w:hAnsi="仿宋" w:eastAsia="仿宋_GB2312"/>
          <w:sz w:val="30"/>
          <w:szCs w:val="30"/>
        </w:rPr>
        <w:t>“</w:t>
      </w:r>
      <w:r>
        <w:rPr>
          <w:rFonts w:hint="eastAsia" w:ascii="仿宋_GB2312" w:hAnsi="仿宋" w:eastAsia="仿宋_GB2312"/>
          <w:sz w:val="30"/>
          <w:szCs w:val="30"/>
        </w:rPr>
        <w:t>三公</w:t>
      </w:r>
      <w:r>
        <w:rPr>
          <w:rFonts w:ascii="仿宋_GB2312" w:hAnsi="仿宋" w:eastAsia="仿宋_GB2312"/>
          <w:sz w:val="30"/>
          <w:szCs w:val="30"/>
        </w:rPr>
        <w:t>”</w:t>
      </w:r>
      <w:r>
        <w:rPr>
          <w:rFonts w:hint="eastAsia" w:ascii="仿宋_GB2312" w:hAnsi="仿宋" w:eastAsia="仿宋_GB2312"/>
          <w:sz w:val="30"/>
          <w:szCs w:val="30"/>
        </w:rPr>
        <w:t>经费预算数</w:t>
      </w:r>
      <w:r>
        <w:rPr>
          <w:rFonts w:hint="eastAsia" w:ascii="仿宋_GB2312" w:hAnsi="仿宋" w:eastAsia="仿宋_GB2312"/>
          <w:b/>
          <w:bCs/>
          <w:color w:val="C00000"/>
          <w:sz w:val="30"/>
          <w:szCs w:val="30"/>
        </w:rPr>
        <w:t>为全年预算数，反映按规定程序调整后的预算数。“三公”经费支出总额及分项数额均应与全年预算数、上年决算数进行对比，说明增减变动原因。</w:t>
      </w:r>
      <w:r>
        <w:rPr>
          <w:rFonts w:hint="eastAsia" w:ascii="仿宋_GB2312" w:hAnsi="仿宋" w:eastAsia="仿宋_GB2312"/>
          <w:color w:val="0000FF"/>
          <w:sz w:val="30"/>
          <w:szCs w:val="30"/>
        </w:rPr>
        <w:t xml:space="preserve"> 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如决算数既小于预算数，又小于上年数，且主要原因相同，可以表述为“决算数小于预算数和上年数的主要原因是......”。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二）因公出国（境）经费。2022年度因公出国（境）经费预算为0、决算为0；2023年度预算未安排因公出国（境）经费，如果年度也没有追加出国经费，那年末出国（境）经费也应该为0。应表述为“1.因公出国（境）费预算为0万元，支出决算为0万元，完成预算的100%，决算数与预算数相同；较上年减少0万元，下降0%。原因是2022年度、2023年度均未安排因公出国（境）计划。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故2023年黟县XX局因公出国（境）团组0次，出国（境）0人次”</w:t>
      </w:r>
      <w:r>
        <w:rPr>
          <w:rFonts w:hint="eastAsia" w:ascii="仿宋_GB2312" w:hAnsi="仿宋" w:eastAsia="仿宋_GB2312"/>
          <w:sz w:val="30"/>
          <w:szCs w:val="30"/>
        </w:rPr>
        <w:t>参考格式后续“该项经费根据县外办批……等相关规定执行”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予以删除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/>
          <w:b/>
          <w:bCs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公务用车购置及运行维护费，除了汇总数要与全年预算数、上年决算数对比外，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分项的公务用车购置、公务用车运行维护费也要与全年预算数、上年决算数对比。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三）“三公”当中的实物量指标均不能删除，如因公出国的批次和人次，公务接待的批次和人次。如果因公出国（境）当中，单位当年未单独安排出国（境）团组，仅是参加其他单位组织的出国（境），应将参加的团组数公布出去，也就是说，有人次就应该有相应的团组数。接待的批次人次要注意与部门决算填报的数据保持一致。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四）公务用车保有量XX辆，要注意与部门决算国有资产占用情况的车辆数量相比对，原则上应保持一致，不一致的需补充说明。如“‘三公’经费当中公务用车保有量是10辆，部门决算车辆是12辆，差异两辆的原因是…”。如果数量是一致的，则不需补充说明。</w:t>
      </w:r>
    </w:p>
    <w:p>
      <w:pPr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七、关于单位决算公开</w:t>
      </w:r>
    </w:p>
    <w:p>
      <w:pPr>
        <w:ind w:firstLine="600" w:firstLineChars="200"/>
        <w:rPr>
          <w:rFonts w:ascii="仿宋_GB2312" w:hAnsi="仿宋" w:eastAsia="仿宋_GB2312"/>
          <w:b/>
          <w:bCs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1.</w:t>
      </w:r>
      <w:r>
        <w:rPr>
          <w:rFonts w:hint="eastAsia" w:ascii="仿宋_GB2312" w:eastAsia="仿宋_GB2312"/>
          <w:sz w:val="32"/>
          <w:szCs w:val="32"/>
        </w:rPr>
        <w:t>部门本级作为二级预算单位，纳入单位决算批复、公开范围。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批复、公开部门本级时，应在部门名称后加“本级”字样，如“黟县公安局本级”。</w:t>
      </w:r>
    </w:p>
    <w:p>
      <w:pPr>
        <w:ind w:firstLine="640" w:firstLineChars="200"/>
        <w:rPr>
          <w:rFonts w:ascii="仿宋_GB2312" w:hAnsi="仿宋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sz w:val="32"/>
          <w:szCs w:val="32"/>
        </w:rPr>
        <w:t>部门只有机关本级一个二级预算单位的，无需单独批复、公开机关本级决算。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2.公开格式和要求与部门决算公开一致，只是在名称上明确到具体单位，</w:t>
      </w:r>
      <w:r>
        <w:rPr>
          <w:rFonts w:hint="eastAsia" w:ascii="仿宋_GB2312" w:eastAsia="仿宋_GB2312"/>
          <w:sz w:val="32"/>
          <w:szCs w:val="32"/>
        </w:rPr>
        <w:t>并将公开表格左上角“部门”改为“单位”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>
      <w:pPr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八、几个提醒事项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（一）近几年决算批复公开存在的主要问题</w:t>
      </w:r>
    </w:p>
    <w:p>
      <w:pPr>
        <w:ind w:firstLine="602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bCs/>
          <w:sz w:val="30"/>
          <w:szCs w:val="30"/>
        </w:rPr>
        <w:t>一是</w:t>
      </w:r>
      <w:r>
        <w:rPr>
          <w:rFonts w:hint="eastAsia" w:ascii="仿宋_GB2312" w:hAnsi="仿宋" w:eastAsia="仿宋_GB2312"/>
          <w:sz w:val="30"/>
          <w:szCs w:val="30"/>
        </w:rPr>
        <w:t>选用的公开模板不正确。有的一级预算单位选用单位决算公开模板（一级预算单位应选用部门决算公开模板；部门本级和二级预算单位应选用单位决算公开模板）；有的部门、单位仍然使用上年度的公开模板。</w:t>
      </w:r>
    </w:p>
    <w:p>
      <w:pPr>
        <w:ind w:firstLine="602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bCs/>
          <w:sz w:val="30"/>
          <w:szCs w:val="30"/>
        </w:rPr>
        <w:t>二是</w:t>
      </w:r>
      <w:r>
        <w:rPr>
          <w:rFonts w:hint="eastAsia" w:ascii="仿宋_GB2312" w:hAnsi="仿宋" w:eastAsia="仿宋_GB2312"/>
          <w:sz w:val="30"/>
          <w:szCs w:val="30"/>
        </w:rPr>
        <w:t>决算公开数据不勾稽。表内数据不勾稽（部门、单位制作“决算表”内容，不要手工录入，应当使用部门决算软件，提取公开表格数据，并将金额单位转换为“万元”，确保表内分项数与合计数相互勾稽）；报表数据与文字说明数据相互勾稽。</w:t>
      </w:r>
    </w:p>
    <w:p>
      <w:pPr>
        <w:ind w:firstLine="602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bCs/>
          <w:sz w:val="30"/>
          <w:szCs w:val="30"/>
        </w:rPr>
        <w:t>三是</w:t>
      </w:r>
      <w:r>
        <w:rPr>
          <w:rFonts w:hint="eastAsia" w:ascii="仿宋_GB2312" w:hAnsi="仿宋" w:eastAsia="仿宋_GB2312"/>
          <w:sz w:val="30"/>
          <w:szCs w:val="30"/>
        </w:rPr>
        <w:t>公开文字表述不规范。存在错字、漏字、多字、重字，金额单位、标点符号和年份使用不正确；有的公开模板中方括号内提示性内容没有全部删除；决算数与预算数、上年决算数对比增减变化的说明，没有做到科学合理、逻辑严密，经不起推敲。</w:t>
      </w:r>
    </w:p>
    <w:p>
      <w:pPr>
        <w:ind w:firstLine="602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bCs/>
          <w:sz w:val="30"/>
          <w:szCs w:val="30"/>
        </w:rPr>
        <w:t>四是</w:t>
      </w:r>
      <w:r>
        <w:rPr>
          <w:rFonts w:hint="eastAsia" w:ascii="仿宋_GB2312" w:hAnsi="仿宋" w:eastAsia="仿宋_GB2312"/>
          <w:sz w:val="30"/>
          <w:szCs w:val="30"/>
        </w:rPr>
        <w:t>二级预算单位批复、公开不符合要求。决算批复是公开的前提，但有的单位未批复、就公开；有的未按县财政局建议的批复、公开日期进行，给决算公开管理和监督带来困难。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（二）关于小数位。金额数值应当保留两位小数，如末位为0不需保留小数位（如：100.67万元，1000万元，100.3万元）；百分比应当保留1位小数，如末位为0需保留（如：18.0%、0.0%）。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（三）关于公开文本格式。文本需要统一以PDF形式公开，并同步上传word＋PDF版本作为附件。</w:t>
      </w:r>
    </w:p>
    <w:p>
      <w:pPr>
        <w:ind w:firstLine="600" w:firstLineChars="200"/>
        <w:rPr>
          <w:rFonts w:ascii="黑体" w:hAnsi="仿宋" w:eastAsia="黑体"/>
          <w:sz w:val="30"/>
          <w:szCs w:val="30"/>
        </w:rPr>
      </w:pPr>
      <w:r>
        <w:rPr>
          <w:rFonts w:hint="eastAsia" w:ascii="黑体" w:hAnsi="仿宋" w:eastAsia="黑体"/>
          <w:sz w:val="30"/>
          <w:szCs w:val="30"/>
        </w:rPr>
        <w:t>九、联系人及电话</w:t>
      </w:r>
    </w:p>
    <w:p>
      <w:pPr>
        <w:ind w:firstLine="600" w:firstLineChars="200"/>
        <w:rPr>
          <w:rFonts w:hint="default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</w:rPr>
        <w:t>汪媛媛 5552726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 xml:space="preserve">  邵纤纤 5522083</w:t>
      </w:r>
    </w:p>
    <w:p>
      <w:pPr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财政监督股（预算绩效管理股）张灿 5522993</w:t>
      </w:r>
    </w:p>
    <w:p>
      <w:pPr>
        <w:pStyle w:val="2"/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E3YjBjYWFlZDEwMjQ4ODViZjRkYTgyNTc5MjJhNzgifQ=="/>
  </w:docVars>
  <w:rsids>
    <w:rsidRoot w:val="74F27B71"/>
    <w:rsid w:val="000324C2"/>
    <w:rsid w:val="00283BD4"/>
    <w:rsid w:val="003F58BA"/>
    <w:rsid w:val="006D0CE9"/>
    <w:rsid w:val="007429C4"/>
    <w:rsid w:val="007945C9"/>
    <w:rsid w:val="00804E93"/>
    <w:rsid w:val="00867378"/>
    <w:rsid w:val="008F2594"/>
    <w:rsid w:val="009D1F03"/>
    <w:rsid w:val="00A30BD7"/>
    <w:rsid w:val="00B54AF4"/>
    <w:rsid w:val="00CF04A6"/>
    <w:rsid w:val="00D26316"/>
    <w:rsid w:val="00DC4BA3"/>
    <w:rsid w:val="00E92EC1"/>
    <w:rsid w:val="01A06E9D"/>
    <w:rsid w:val="039B6A4E"/>
    <w:rsid w:val="04333FF8"/>
    <w:rsid w:val="04CA07C4"/>
    <w:rsid w:val="0AE778EA"/>
    <w:rsid w:val="0C8F3D96"/>
    <w:rsid w:val="10FE14EA"/>
    <w:rsid w:val="1240431F"/>
    <w:rsid w:val="149A505C"/>
    <w:rsid w:val="18E67433"/>
    <w:rsid w:val="194F4FD8"/>
    <w:rsid w:val="197131A1"/>
    <w:rsid w:val="19832ED4"/>
    <w:rsid w:val="1DBA6F76"/>
    <w:rsid w:val="23C14D25"/>
    <w:rsid w:val="2A9C3DF6"/>
    <w:rsid w:val="2E7330BF"/>
    <w:rsid w:val="32A63A63"/>
    <w:rsid w:val="33DA14EB"/>
    <w:rsid w:val="345474EF"/>
    <w:rsid w:val="35700359"/>
    <w:rsid w:val="390414E4"/>
    <w:rsid w:val="3CDC4526"/>
    <w:rsid w:val="3FEC2CD2"/>
    <w:rsid w:val="3FFD6C8D"/>
    <w:rsid w:val="41782A6F"/>
    <w:rsid w:val="42927B60"/>
    <w:rsid w:val="47F6293F"/>
    <w:rsid w:val="54244390"/>
    <w:rsid w:val="54686973"/>
    <w:rsid w:val="57C71C02"/>
    <w:rsid w:val="5CA07E57"/>
    <w:rsid w:val="5CCE57E1"/>
    <w:rsid w:val="666D7E19"/>
    <w:rsid w:val="6E070B53"/>
    <w:rsid w:val="6E3D27B9"/>
    <w:rsid w:val="711E068D"/>
    <w:rsid w:val="73236401"/>
    <w:rsid w:val="733817AF"/>
    <w:rsid w:val="736D3206"/>
    <w:rsid w:val="74F27B71"/>
    <w:rsid w:val="7C1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center"/>
    </w:pPr>
    <w:rPr>
      <w:rFonts w:eastAsia="黑体"/>
      <w:sz w:val="36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555</Words>
  <Characters>3170</Characters>
  <Lines>26</Lines>
  <Paragraphs>7</Paragraphs>
  <TotalTime>16</TotalTime>
  <ScaleCrop>false</ScaleCrop>
  <LinksUpToDate>false</LinksUpToDate>
  <CharactersWithSpaces>3718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2024-09-04T08:43:00Z</dcterms:created>
  <dc:creator>洪HH2X</dc:creator>
  <cp:lastModifiedBy>浅慕</cp:lastModifiedBy>
  <dcterms:modified xsi:type="dcterms:W3CDTF">2024-09-13T01:28:33Z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0E692A04E2E84721B967441551405F53_11</vt:lpwstr>
  </property>
</Properties>
</file>