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84945">
      <w:pPr>
        <w:pStyle w:val="10"/>
        <w:snapToGrid w:val="0"/>
        <w:spacing w:before="0" w:after="0" w:line="560" w:lineRule="exact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</w:rPr>
        <w:t>部门绩效自评工作情况总结</w:t>
      </w:r>
    </w:p>
    <w:p w14:paraId="4498F970">
      <w:pPr>
        <w:snapToGrid w:val="0"/>
        <w:spacing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</w:p>
    <w:p w14:paraId="23E6C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一、自评工作开展情况</w:t>
      </w:r>
    </w:p>
    <w:p w14:paraId="69AA88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6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黟县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柯村镇人民政府严格按照</w:t>
      </w:r>
      <w:r>
        <w:rPr>
          <w:rFonts w:hint="eastAsia" w:ascii="仿宋_GB2312" w:eastAsia="仿宋_GB2312"/>
          <w:sz w:val="32"/>
          <w:szCs w:val="32"/>
        </w:rPr>
        <w:t>《黟县县级预算绩效管理实施方案》（黟财绩〔202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号）有关要求，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部署预算绩效评价工作，明确一名专人负责此项工作，组织、协调和督促落实此项工作，并制定实施方案，推进绩效管理工作健康有序开展，根据上级有关规定和要求，对评价的单位、项目、时间及责任人等明确主体责任，规范工作内容，确保绩效评价工作有章可循，有序开展。</w:t>
      </w:r>
    </w:p>
    <w:p w14:paraId="693B811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黟县柯村镇人民政府开展了2024年度部门整体绩效自评及9个项目支出绩效自评，分别为24_村级支出、体制安排(柯村镇)、体制结算（柯村镇）、体制经费、各村及社区独保费、农村公路养护、红色美丽村庄、2024年度农村公益事业财政奖补项目、黟集202402号集体经营性建设用地入市。</w:t>
      </w:r>
    </w:p>
    <w:p w14:paraId="5426F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二、部门预算支出情况</w:t>
      </w:r>
    </w:p>
    <w:p w14:paraId="29F84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60"/>
        <w:jc w:val="both"/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年黟县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柯村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镇</w:t>
      </w: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人民政府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数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1785.10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其中财政拨款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1785.10万元；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全年执行数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1785.10万元，其中财政拨款1785.10万元，执行率100%。</w:t>
      </w:r>
    </w:p>
    <w:p w14:paraId="1A923A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部门预算支出包括：人员类、公用经费、其他运转类、特定项目类。其中：人员类支出全年预算数614.88万元，全年执行数614.88万元，执行率100%；公用经费支出全年预算数58.32万元，全年执行数58.32万元，执行率100%；其他运转类支出全年预算数427.10万元，全年执行数427.10万元，执行率100%；特定项目类支出全年预算数684.80万元，全年执行数684.80万元，执行率100%。</w:t>
      </w:r>
    </w:p>
    <w:p w14:paraId="77CA1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三、项目自评结果及分析</w:t>
      </w:r>
    </w:p>
    <w:p w14:paraId="21DF57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2024年度黟县柯村镇人民政府开展了9个项目支出绩效自评，自评情况如下：</w:t>
      </w:r>
    </w:p>
    <w:p w14:paraId="0E42A7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2024_村级支出</w:t>
      </w:r>
    </w:p>
    <w:p w14:paraId="0312A7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年初预算数210.12万元，全年预算数210.12万元，全年执行数210.12万元，执行率100%，自评得分100分。通过预算执行，保障了村级组织安全平稳运行，有序开展日常工作。</w:t>
      </w:r>
    </w:p>
    <w:p w14:paraId="796F5A0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2.体制安排(柯村镇)</w:t>
      </w:r>
    </w:p>
    <w:p w14:paraId="287E2B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年初预算数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408.14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390.16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390.16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万元，执行率100.00%，自评得分100分，通过预算执行保障了202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年度镇政府日常办公、机构运行。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 xml:space="preserve">     </w:t>
      </w:r>
    </w:p>
    <w:p w14:paraId="5A9398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3.体制结算（柯村镇）</w:t>
      </w:r>
    </w:p>
    <w:p w14:paraId="1AB58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311.20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311.20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311.20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万元，执行率100.00%，自评得分100分，通过预算执行保障了202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年度镇政府日常办公、机构运行。</w:t>
      </w:r>
    </w:p>
    <w:p w14:paraId="20C60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体制经费</w:t>
      </w:r>
    </w:p>
    <w:p w14:paraId="27B49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36.95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36.95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36.95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，保障了2024年度政府运转，按时完成工作任务。</w:t>
      </w:r>
    </w:p>
    <w:p w14:paraId="1645F3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各村及社区独保费</w:t>
      </w:r>
    </w:p>
    <w:p w14:paraId="0552D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1.07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，按时完成2024年度独保费发放。</w:t>
      </w:r>
    </w:p>
    <w:p w14:paraId="33DBFF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农村公路养护</w:t>
      </w:r>
    </w:p>
    <w:p w14:paraId="09F3BA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年初预算18.34万元，全年预算数0万元，全年执行数0万元，执行率0%，自评得分90分，通过预算执行，按时完成2024年度农村公路养护。</w:t>
      </w:r>
    </w:p>
    <w:p w14:paraId="3B14C0B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tabs>
          <w:tab w:val="left" w:pos="1123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红色美丽村庄</w:t>
      </w:r>
    </w:p>
    <w:p w14:paraId="364AFB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，按时完成2024年度红色美丽村庄建设。</w:t>
      </w:r>
    </w:p>
    <w:p w14:paraId="2DEDCA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8.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2024年度农村公益事业财政奖补项目</w:t>
      </w:r>
    </w:p>
    <w:p w14:paraId="10B98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40.20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40.20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40.20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，按时完成2024年度农村公益事业财政奖补项目建设。</w:t>
      </w:r>
    </w:p>
    <w:p w14:paraId="0A93F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黟集202402号集体经营性建设用地入市</w:t>
      </w:r>
    </w:p>
    <w:p w14:paraId="06D9A9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年初预算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26.27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万元，全年预算数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26.27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万元，全年执行数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26.27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万元，执行率100.00%，自评得分100分，通过预算执行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，按时完成2024年度集体经营性建设用地入市工作。</w:t>
      </w:r>
    </w:p>
    <w:p w14:paraId="008E4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四、绩效自评发现的主要问题及整改措施</w:t>
      </w:r>
    </w:p>
    <w:p w14:paraId="3582839A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3" w:lineRule="atLeast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（一）主要问题</w:t>
      </w:r>
    </w:p>
    <w:p w14:paraId="17A3CE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1.预算绩效指标体系存在进一步完善的空间，我镇现建立的各项预算绩效目标指标仍有不科学、不细致的地方，影响了预算绩效评价的结果。</w:t>
      </w:r>
    </w:p>
    <w:p w14:paraId="445174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2.预算绩效管理经验需要进一步积累。因为预算绩效管理工作具有政策性强、专业性强、涉及面广、操作难度大等特点，经验不足，导致工作多走许多弯路，影响工作效果。</w:t>
      </w:r>
    </w:p>
    <w:p w14:paraId="78E7A102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3" w:lineRule="atLeast"/>
        <w:ind w:left="0" w:firstLine="42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（二）整改措施</w:t>
      </w:r>
    </w:p>
    <w:p w14:paraId="721F1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.坚持推行精细化管理，强化预算绩效目标管理、细化绩效目标，并将绩效目标细化分解为具体工作计划，同时，计划应明确规定在一定时间内完成的目标、任务和应达到的要求，任务和要求应具体明确任务数量、质量。</w:t>
      </w:r>
      <w:bookmarkStart w:id="0" w:name="_GoBack"/>
      <w:bookmarkEnd w:id="0"/>
    </w:p>
    <w:p w14:paraId="04E0C0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2.建立健全财政各项资金管理制度，严格执行财务管理制度，做到财务处理及时，会计核算规范，严格按照计划进度支付。各项目资金严格实行专款专用，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严格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资金使用。在下年度的预算编制工作中，时刻跟踪项目的进度，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提高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预算资金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执行效率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，做好绩效评价工作。</w:t>
      </w:r>
    </w:p>
    <w:p w14:paraId="1A3F4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五、其他需要说明的问题</w:t>
      </w:r>
    </w:p>
    <w:p w14:paraId="68CEC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附：项目支出绩效自评汇总表</w:t>
      </w:r>
    </w:p>
    <w:p w14:paraId="01F5CBD1">
      <w:pPr>
        <w:pStyle w:val="2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1E9366">
      <w:pPr>
        <w:pStyle w:val="2"/>
        <w:ind w:firstLine="5120" w:firstLineChars="1600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黟县柯村镇人民政府</w:t>
      </w:r>
    </w:p>
    <w:p w14:paraId="451B4D0E">
      <w:pPr>
        <w:pStyle w:val="2"/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　　　　　　　　　　　　　　　　　2025年6月20日</w:t>
      </w:r>
    </w:p>
    <w:p w14:paraId="49C3D41F"/>
    <w:p w14:paraId="1921796A"/>
    <w:p w14:paraId="37A383F8"/>
    <w:p w14:paraId="737A9408"/>
    <w:p w14:paraId="0094C1D8"/>
    <w:p w14:paraId="2536CF22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</w:t>
      </w:r>
    </w:p>
    <w:p w14:paraId="7A9AC9F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项目支出绩效自评汇总表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3375"/>
        <w:gridCol w:w="1272"/>
        <w:gridCol w:w="1272"/>
        <w:gridCol w:w="720"/>
        <w:gridCol w:w="767"/>
        <w:gridCol w:w="630"/>
      </w:tblGrid>
      <w:tr w14:paraId="746C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802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58" w:type="dxa"/>
            <w:vAlign w:val="center"/>
          </w:tcPr>
          <w:p w14:paraId="591A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416" w:type="dxa"/>
            <w:vAlign w:val="center"/>
          </w:tcPr>
          <w:p w14:paraId="137B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全年预算数（万元）</w:t>
            </w:r>
          </w:p>
        </w:tc>
        <w:tc>
          <w:tcPr>
            <w:tcW w:w="1416" w:type="dxa"/>
            <w:vAlign w:val="center"/>
          </w:tcPr>
          <w:p w14:paraId="0C9CC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全年执行数（万元）</w:t>
            </w:r>
          </w:p>
        </w:tc>
        <w:tc>
          <w:tcPr>
            <w:tcW w:w="782" w:type="dxa"/>
            <w:vAlign w:val="center"/>
          </w:tcPr>
          <w:p w14:paraId="2C5DF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预算执行率</w:t>
            </w:r>
          </w:p>
        </w:tc>
        <w:tc>
          <w:tcPr>
            <w:tcW w:w="848" w:type="dxa"/>
            <w:vAlign w:val="center"/>
          </w:tcPr>
          <w:p w14:paraId="04B74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自评得分</w:t>
            </w:r>
          </w:p>
        </w:tc>
        <w:tc>
          <w:tcPr>
            <w:tcW w:w="703" w:type="dxa"/>
            <w:vAlign w:val="center"/>
          </w:tcPr>
          <w:p w14:paraId="2ECC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是否有较大偏差</w:t>
            </w:r>
          </w:p>
        </w:tc>
      </w:tr>
      <w:tr w14:paraId="635A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9" w:type="dxa"/>
            <w:vAlign w:val="center"/>
          </w:tcPr>
          <w:p w14:paraId="287E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58" w:type="dxa"/>
            <w:vAlign w:val="center"/>
          </w:tcPr>
          <w:p w14:paraId="7DB9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2024_村级支出</w:t>
            </w:r>
          </w:p>
        </w:tc>
        <w:tc>
          <w:tcPr>
            <w:tcW w:w="1416" w:type="dxa"/>
            <w:vAlign w:val="center"/>
          </w:tcPr>
          <w:p w14:paraId="025B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210.12</w:t>
            </w:r>
          </w:p>
        </w:tc>
        <w:tc>
          <w:tcPr>
            <w:tcW w:w="1416" w:type="dxa"/>
            <w:vAlign w:val="center"/>
          </w:tcPr>
          <w:p w14:paraId="5AF2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210.12</w:t>
            </w:r>
          </w:p>
        </w:tc>
        <w:tc>
          <w:tcPr>
            <w:tcW w:w="782" w:type="dxa"/>
            <w:vAlign w:val="center"/>
          </w:tcPr>
          <w:p w14:paraId="23E5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48" w:type="dxa"/>
            <w:vAlign w:val="center"/>
          </w:tcPr>
          <w:p w14:paraId="0B92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703" w:type="dxa"/>
            <w:vAlign w:val="center"/>
          </w:tcPr>
          <w:p w14:paraId="4BD6F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611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51C0F2CC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58" w:type="dxa"/>
            <w:vAlign w:val="center"/>
          </w:tcPr>
          <w:p w14:paraId="073D1BE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体制结算(柯村镇)</w:t>
            </w:r>
          </w:p>
        </w:tc>
        <w:tc>
          <w:tcPr>
            <w:tcW w:w="1416" w:type="dxa"/>
            <w:vAlign w:val="center"/>
          </w:tcPr>
          <w:p w14:paraId="63DFE1CD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311.20</w:t>
            </w:r>
          </w:p>
        </w:tc>
        <w:tc>
          <w:tcPr>
            <w:tcW w:w="1416" w:type="dxa"/>
            <w:vAlign w:val="center"/>
          </w:tcPr>
          <w:p w14:paraId="46C9F35E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311.20</w:t>
            </w:r>
          </w:p>
        </w:tc>
        <w:tc>
          <w:tcPr>
            <w:tcW w:w="782" w:type="dxa"/>
            <w:vAlign w:val="center"/>
          </w:tcPr>
          <w:p w14:paraId="1249D4F7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48" w:type="dxa"/>
            <w:vAlign w:val="center"/>
          </w:tcPr>
          <w:p w14:paraId="044E0BCC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703" w:type="dxa"/>
            <w:vAlign w:val="center"/>
          </w:tcPr>
          <w:p w14:paraId="212DE75E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2D9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329EC552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58" w:type="dxa"/>
            <w:vAlign w:val="center"/>
          </w:tcPr>
          <w:p w14:paraId="689F771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体制安排(柯村镇)</w:t>
            </w:r>
          </w:p>
        </w:tc>
        <w:tc>
          <w:tcPr>
            <w:tcW w:w="1416" w:type="dxa"/>
            <w:vAlign w:val="center"/>
          </w:tcPr>
          <w:p w14:paraId="5825E72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390.16</w:t>
            </w:r>
          </w:p>
        </w:tc>
        <w:tc>
          <w:tcPr>
            <w:tcW w:w="1416" w:type="dxa"/>
            <w:vAlign w:val="center"/>
          </w:tcPr>
          <w:p w14:paraId="5CB21D3D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390.16</w:t>
            </w:r>
          </w:p>
        </w:tc>
        <w:tc>
          <w:tcPr>
            <w:tcW w:w="782" w:type="dxa"/>
            <w:vAlign w:val="center"/>
          </w:tcPr>
          <w:p w14:paraId="0DC177E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48" w:type="dxa"/>
            <w:vAlign w:val="center"/>
          </w:tcPr>
          <w:p w14:paraId="49A48CB0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703" w:type="dxa"/>
            <w:vAlign w:val="center"/>
          </w:tcPr>
          <w:p w14:paraId="6E56EC8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7D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17940444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58" w:type="dxa"/>
            <w:vAlign w:val="center"/>
          </w:tcPr>
          <w:p w14:paraId="773B289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体制经费</w:t>
            </w:r>
          </w:p>
        </w:tc>
        <w:tc>
          <w:tcPr>
            <w:tcW w:w="1416" w:type="dxa"/>
            <w:vAlign w:val="center"/>
          </w:tcPr>
          <w:p w14:paraId="3353328C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36.95</w:t>
            </w:r>
          </w:p>
        </w:tc>
        <w:tc>
          <w:tcPr>
            <w:tcW w:w="1416" w:type="dxa"/>
            <w:vAlign w:val="center"/>
          </w:tcPr>
          <w:p w14:paraId="26976517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36.95</w:t>
            </w:r>
          </w:p>
        </w:tc>
        <w:tc>
          <w:tcPr>
            <w:tcW w:w="782" w:type="dxa"/>
            <w:vAlign w:val="center"/>
          </w:tcPr>
          <w:p w14:paraId="4A546D2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48" w:type="dxa"/>
            <w:vAlign w:val="center"/>
          </w:tcPr>
          <w:p w14:paraId="7580159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703" w:type="dxa"/>
            <w:vAlign w:val="center"/>
          </w:tcPr>
          <w:p w14:paraId="0221B0F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1A2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 w14:paraId="24669FF7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FB32506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各村及社区独保费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340BC3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B50009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1.07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300BF58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490FAB9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703" w:type="dxa"/>
            <w:vAlign w:val="center"/>
          </w:tcPr>
          <w:p w14:paraId="6FEF252D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B89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8479815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BFE34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农村公路养护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6235D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3E44C1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2238A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F01D5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0" w:type="auto"/>
          </w:tcPr>
          <w:p w14:paraId="799BC43A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C8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3D4331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7501D6AD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红色美丽村庄</w:t>
            </w:r>
          </w:p>
        </w:tc>
        <w:tc>
          <w:tcPr>
            <w:tcW w:w="0" w:type="auto"/>
            <w:vAlign w:val="center"/>
          </w:tcPr>
          <w:p w14:paraId="49C2B18A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20D87AA2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41CF277D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48E1C926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</w:tcPr>
          <w:p w14:paraId="17998A03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86E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E405508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08C98510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2024年度农村公益事业财政奖补项目</w:t>
            </w:r>
          </w:p>
        </w:tc>
        <w:tc>
          <w:tcPr>
            <w:tcW w:w="0" w:type="auto"/>
            <w:vAlign w:val="center"/>
          </w:tcPr>
          <w:p w14:paraId="2CC644D1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40.2</w:t>
            </w:r>
          </w:p>
        </w:tc>
        <w:tc>
          <w:tcPr>
            <w:tcW w:w="0" w:type="auto"/>
            <w:vAlign w:val="center"/>
          </w:tcPr>
          <w:p w14:paraId="56C7F8A9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40.2</w:t>
            </w:r>
          </w:p>
        </w:tc>
        <w:tc>
          <w:tcPr>
            <w:tcW w:w="0" w:type="auto"/>
            <w:vAlign w:val="center"/>
          </w:tcPr>
          <w:p w14:paraId="32FFAC06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667D7A86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</w:tcPr>
          <w:p w14:paraId="17F4FCF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1EF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76D90BB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0873AD04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黟集202402号集体经营性建设用地入市</w:t>
            </w:r>
          </w:p>
          <w:p w14:paraId="55E32F0A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20DA11F5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26.27</w:t>
            </w:r>
          </w:p>
        </w:tc>
        <w:tc>
          <w:tcPr>
            <w:tcW w:w="0" w:type="auto"/>
            <w:vAlign w:val="center"/>
          </w:tcPr>
          <w:p w14:paraId="55A5D2EF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26.27</w:t>
            </w:r>
          </w:p>
        </w:tc>
        <w:tc>
          <w:tcPr>
            <w:tcW w:w="0" w:type="auto"/>
            <w:vAlign w:val="center"/>
          </w:tcPr>
          <w:p w14:paraId="55D804D6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  <w:vAlign w:val="center"/>
          </w:tcPr>
          <w:p w14:paraId="525ABE80">
            <w:pPr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0" w:type="auto"/>
          </w:tcPr>
          <w:p w14:paraId="2E578AA9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287CA6C">
      <w:pPr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39E77"/>
    <w:multiLevelType w:val="singleLevel"/>
    <w:tmpl w:val="80B39E77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7A9B7C"/>
    <w:multiLevelType w:val="singleLevel"/>
    <w:tmpl w:val="687A9B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YjM2NDhhZjI4MWZkZjhlMTQ2YjI3M2FmMDRmNjYifQ=="/>
  </w:docVars>
  <w:rsids>
    <w:rsidRoot w:val="00F0438A"/>
    <w:rsid w:val="0005542A"/>
    <w:rsid w:val="00206119"/>
    <w:rsid w:val="00267E9A"/>
    <w:rsid w:val="0039644E"/>
    <w:rsid w:val="007114E7"/>
    <w:rsid w:val="00AC65DC"/>
    <w:rsid w:val="00C57F28"/>
    <w:rsid w:val="00CD472F"/>
    <w:rsid w:val="00F0438A"/>
    <w:rsid w:val="097C4E00"/>
    <w:rsid w:val="0B3B7059"/>
    <w:rsid w:val="12C36E1C"/>
    <w:rsid w:val="141233F8"/>
    <w:rsid w:val="16F947A3"/>
    <w:rsid w:val="196379CF"/>
    <w:rsid w:val="1CD27D21"/>
    <w:rsid w:val="1E284E14"/>
    <w:rsid w:val="23E005A9"/>
    <w:rsid w:val="296810F4"/>
    <w:rsid w:val="2C5129BE"/>
    <w:rsid w:val="2D2C643A"/>
    <w:rsid w:val="3C946A6F"/>
    <w:rsid w:val="4E875F36"/>
    <w:rsid w:val="59965D30"/>
    <w:rsid w:val="5E206CD4"/>
    <w:rsid w:val="6E3C2B89"/>
    <w:rsid w:val="6EF2454A"/>
    <w:rsid w:val="72A93F87"/>
    <w:rsid w:val="72DA3E7D"/>
    <w:rsid w:val="7839549F"/>
    <w:rsid w:val="7CC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2"/>
      <w:ind w:left="112"/>
    </w:pPr>
    <w:rPr>
      <w:kern w:val="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办公自动化专用标题"/>
    <w:basedOn w:val="6"/>
    <w:qFormat/>
    <w:uiPriority w:val="0"/>
    <w:pPr>
      <w:widowControl/>
      <w:spacing w:line="560" w:lineRule="atLeast"/>
    </w:pPr>
    <w:rPr>
      <w:rFonts w:ascii="宋体" w:hAnsi="Arial" w:eastAsia="宋体" w:cs="Times New Roman"/>
      <w:bCs w:val="0"/>
      <w:kern w:val="0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9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1828</Words>
  <Characters>2251</Characters>
  <Lines>2</Lines>
  <Paragraphs>1</Paragraphs>
  <TotalTime>23</TotalTime>
  <ScaleCrop>false</ScaleCrop>
  <LinksUpToDate>false</LinksUpToDate>
  <CharactersWithSpaces>2279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2021-02-20T07:58:00Z</dcterms:created>
  <dc:creator>李成名</dc:creator>
  <cp:lastModifiedBy>不堪一鸡</cp:lastModifiedBy>
  <dcterms:modified xsi:type="dcterms:W3CDTF">2025-10-09T07:03:03Z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F53779F931A344FE89F8555C5619E3C1_13</vt:lpwstr>
  </property>
  <property fmtid="{D5CDD505-2E9C-101B-9397-08002B2CF9AE}" pid="4" name="KSOTemplateDocerSaveRecord">
    <vt:lpwstr>eyJoZGlkIjoiNDg4MGUxNGMzZjdjMjc5OTIzMTZiYjIyNzQ2ODFjMmIiLCJ1c2VySWQiOiI1NTYwOTI3MTkifQ==</vt:lpwstr>
  </property>
</Properties>
</file>