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16DEE">
      <w:pPr>
        <w:rPr>
          <w:rFonts w:hint="eastAsia"/>
        </w:rPr>
      </w:pPr>
      <w:r>
        <w:rPr>
          <w:sz w:val="20"/>
        </w:rPr>
        <w:pict>
          <v:rect id="_x0000_s1031" o:spid="_x0000_s1031" o:spt="1" style="position:absolute;left:0pt;margin-left:0pt;margin-top:-7.8pt;height:140.4pt;width:465.3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 w14:paraId="5BB92F3A"/>
              </w:txbxContent>
            </v:textbox>
          </v:rect>
        </w:pict>
      </w:r>
    </w:p>
    <w:p w14:paraId="436D7637">
      <w:pPr>
        <w:rPr>
          <w:rFonts w:hint="eastAsia"/>
        </w:rPr>
      </w:pPr>
    </w:p>
    <w:p w14:paraId="64903C89">
      <w:pPr>
        <w:rPr>
          <w:rFonts w:hint="eastAsia"/>
        </w:rPr>
      </w:pPr>
    </w:p>
    <w:p w14:paraId="1AA5CB46">
      <w:pPr>
        <w:rPr>
          <w:rFonts w:hint="eastAsia"/>
        </w:rPr>
      </w:pPr>
    </w:p>
    <w:p w14:paraId="32A77925">
      <w:pPr>
        <w:jc w:val="center"/>
        <w:rPr>
          <w:rFonts w:hint="eastAsia"/>
          <w:lang w:eastAsia="zh-CN"/>
        </w:rPr>
      </w:pPr>
    </w:p>
    <w:p w14:paraId="6DFF6BCD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/>
        <w:jc w:val="center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  <w:t>黟财资〔2025〕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  <w:t>号</w:t>
      </w:r>
    </w:p>
    <w:p w14:paraId="0B2861A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/>
        </w:rPr>
        <w:pict>
          <v:line id="_x0000_s1037" o:spid="_x0000_s1037" o:spt="20" style="position:absolute;left:0pt;margin-left:0pt;margin-top:15.6pt;height:0pt;width:450.2pt;z-index:251660288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/>
          </v:line>
        </w:pict>
      </w:r>
    </w:p>
    <w:p w14:paraId="11F4A822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关于印发黟县县级行政事业单位国有资产</w:t>
      </w:r>
    </w:p>
    <w:p w14:paraId="23C2CDD6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配置管理办法的通知</w:t>
      </w:r>
    </w:p>
    <w:p w14:paraId="7063DFBC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</w:pPr>
    </w:p>
    <w:p w14:paraId="6CC59250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  <w:t>各乡镇人民政府、县直各单位：</w:t>
      </w:r>
    </w:p>
    <w:p w14:paraId="78FCAB07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  <w:t>根据《行政事业性国有资产管理条例》等规定，我局制定了《黟县县级行政事业单位国有资产配置管理办法》。经县政府同意，现印发给你们，请遵照执行。</w:t>
      </w:r>
    </w:p>
    <w:p w14:paraId="1E5328F9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88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</w:rPr>
        <w:t xml:space="preserve">  </w:t>
      </w:r>
    </w:p>
    <w:p w14:paraId="0741F076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88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</w:rPr>
      </w:pPr>
    </w:p>
    <w:p w14:paraId="1A7E8D32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880"/>
        <w:jc w:val="center"/>
        <w:outlineLvl w:val="9"/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</w:rPr>
      </w:pPr>
    </w:p>
    <w:p w14:paraId="54FB7990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0" w:firstLineChars="200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eastAsia="zh-CN"/>
        </w:rPr>
        <w:t>黟县财政局</w:t>
      </w:r>
    </w:p>
    <w:p w14:paraId="30BCA278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5760" w:firstLineChars="1800"/>
        <w:jc w:val="both"/>
        <w:outlineLvl w:val="9"/>
        <w:rPr>
          <w:rFonts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  <w:t>2025年7月21日</w:t>
      </w:r>
    </w:p>
    <w:p w14:paraId="766CCA8E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/>
        <w:jc w:val="both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</w:p>
    <w:p w14:paraId="4CFD121C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</w:p>
    <w:p w14:paraId="71615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黟县县级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行政事业单位国有资产</w:t>
      </w:r>
    </w:p>
    <w:p w14:paraId="1AC059D2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配置管理办法</w:t>
      </w:r>
    </w:p>
    <w:p w14:paraId="0B79DD23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0"/>
        <w:jc w:val="center"/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372153DB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第一章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  总则</w:t>
      </w:r>
    </w:p>
    <w:p w14:paraId="460AA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rPr>
          <w:rFonts w:hint="eastAsia"/>
        </w:rPr>
      </w:pPr>
      <w:r>
        <w:rPr>
          <w:b/>
          <w:bCs/>
          <w:lang w:val="en-US" w:eastAsia="zh-CN"/>
        </w:rPr>
        <w:t>第一条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lang w:val="en-US" w:eastAsia="zh-CN"/>
        </w:rPr>
        <w:t>为规范和加强</w:t>
      </w:r>
      <w:r>
        <w:rPr>
          <w:rFonts w:hint="eastAsia"/>
          <w:lang w:val="en-US" w:eastAsia="zh-CN"/>
        </w:rPr>
        <w:t>县级</w:t>
      </w:r>
      <w:r>
        <w:rPr>
          <w:lang w:val="en-US" w:eastAsia="zh-CN"/>
        </w:rPr>
        <w:t>行政事业单位国有资产配置（以下简称“资产配置”）管理，实现资产管理与预算管理一体化，提高资产配置的科学性，保障行政事业单位履行职能和事业发展需要，根据《中华人民共和国预算法》《行政事业性国有资产管理条例》《安徽省省级行政事业单位国有资产配置管理办法》</w:t>
      </w:r>
      <w:r>
        <w:rPr>
          <w:rFonts w:hint="eastAsia"/>
          <w:lang w:val="en-US" w:eastAsia="zh-CN"/>
        </w:rPr>
        <w:t>《黄山市市级行政事业单位国有资产配置管理办法》</w:t>
      </w:r>
      <w:r>
        <w:rPr>
          <w:lang w:val="en-US" w:eastAsia="zh-CN"/>
        </w:rPr>
        <w:t>等有关规定，制定本办法。</w:t>
      </w:r>
    </w:p>
    <w:p w14:paraId="7332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/>
        </w:rPr>
      </w:pPr>
      <w:r>
        <w:rPr>
          <w:lang w:val="en-US" w:eastAsia="zh-CN"/>
        </w:rPr>
        <w:t>本办法所称</w:t>
      </w:r>
      <w:r>
        <w:rPr>
          <w:rFonts w:hint="eastAsia"/>
          <w:lang w:val="en-US" w:eastAsia="zh-CN"/>
        </w:rPr>
        <w:t>县级</w:t>
      </w:r>
      <w:r>
        <w:rPr>
          <w:lang w:val="en-US" w:eastAsia="zh-CN"/>
        </w:rPr>
        <w:t>行政事业单位是指</w:t>
      </w:r>
      <w:r>
        <w:rPr>
          <w:rFonts w:hint="eastAsia"/>
          <w:lang w:val="en-US" w:eastAsia="zh-CN"/>
        </w:rPr>
        <w:t>全县各级</w:t>
      </w:r>
      <w:r>
        <w:rPr>
          <w:lang w:val="en-US" w:eastAsia="zh-CN"/>
        </w:rPr>
        <w:t>党的机关、人大机关、行政机关、政协机关、监察机关、民主党派机关、群团机关和各类事业单位。</w:t>
      </w:r>
    </w:p>
    <w:p w14:paraId="6835B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hint="eastAsia"/>
        </w:rPr>
      </w:pPr>
      <w:r>
        <w:rPr>
          <w:lang w:val="en-US" w:eastAsia="zh-CN"/>
        </w:rPr>
        <w:t>本办法所称资产配置是指</w:t>
      </w:r>
      <w:r>
        <w:rPr>
          <w:rFonts w:hint="eastAsia"/>
          <w:lang w:val="en-US" w:eastAsia="zh-CN"/>
        </w:rPr>
        <w:t>县级</w:t>
      </w:r>
      <w:r>
        <w:rPr>
          <w:lang w:val="en-US" w:eastAsia="zh-CN"/>
        </w:rPr>
        <w:t>行政事业单位根据依法履行职能和事业发展需要，结合资产存量、资产配置标准、绩效目标和财政可承受能力等因素，通过调剂、租用、购置、建设和接受捐赠等方式配备资产的行为。</w:t>
      </w:r>
    </w:p>
    <w:p w14:paraId="3FD2C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rPr>
          <w:rFonts w:hint="eastAsia"/>
        </w:rPr>
      </w:pPr>
      <w:r>
        <w:rPr>
          <w:b/>
          <w:bCs/>
          <w:lang w:val="en-US" w:eastAsia="zh-CN"/>
        </w:rPr>
        <w:t>第二条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lang w:val="en-US" w:eastAsia="zh-CN"/>
        </w:rPr>
        <w:t>资产配置应当遵循资产功能、数量与单位职能相匹配，资产存量与增量相结合，厉行勤俭节约、讲求绩效和绿色环保的原则。资产配置重大事项应当经过可行性研究和集体决策。</w:t>
      </w:r>
    </w:p>
    <w:p w14:paraId="0E69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rPr>
          <w:rFonts w:hint="eastAsia"/>
        </w:rPr>
      </w:pPr>
      <w:r>
        <w:rPr>
          <w:b/>
          <w:bCs/>
          <w:lang w:val="en-US" w:eastAsia="zh-CN"/>
        </w:rPr>
        <w:t>第三条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lang w:val="en-US" w:eastAsia="zh-CN"/>
        </w:rPr>
        <w:t>资产配置的资金来源包括财政拨款收入和其他各类收入。</w:t>
      </w:r>
    </w:p>
    <w:p w14:paraId="6ECF9091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 </w:t>
      </w:r>
    </w:p>
    <w:p w14:paraId="27E1D13D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第二章  管理机构及职责</w:t>
      </w:r>
    </w:p>
    <w:p w14:paraId="38D98797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第四条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财政局的主要职责：</w:t>
      </w:r>
    </w:p>
    <w:p w14:paraId="2BB999BD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（一）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制定资产配置管理制度并组织实施；</w:t>
      </w:r>
    </w:p>
    <w:p w14:paraId="47C8AB81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（二）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对资产配置事项进行审核；</w:t>
      </w:r>
    </w:p>
    <w:p w14:paraId="0052851D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（三）</w:t>
      </w: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对资产配置管理实施监督等。</w:t>
      </w:r>
    </w:p>
    <w:p w14:paraId="090B760B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第五条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机关事务管理中心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的主要职责：</w:t>
      </w:r>
    </w:p>
    <w:p w14:paraId="24300539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（一）会同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财政局制定通用办公设备、家具配置标准，并对执行情况进行监督；</w:t>
      </w:r>
    </w:p>
    <w:p w14:paraId="74A76938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（二）对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行政事业单位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办公用房和公务用车配置事项进行审核；</w:t>
      </w:r>
    </w:p>
    <w:p w14:paraId="49BCBD6B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（三）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配合县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财政局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开展相关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业务指导和监督等。</w:t>
      </w:r>
    </w:p>
    <w:p w14:paraId="32216988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第六条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主管部门的主要职责：</w:t>
      </w:r>
    </w:p>
    <w:p w14:paraId="0846A82C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（一）建立健全资产配置管理制度并组织实施；</w:t>
      </w:r>
    </w:p>
    <w:p w14:paraId="6C380D3A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（二）对本级及所属单位的资产配置事项进行审核；</w:t>
      </w:r>
    </w:p>
    <w:p w14:paraId="13EABFB2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（三）对本级及所属单位资产配置管理实施监督；</w:t>
      </w:r>
    </w:p>
    <w:p w14:paraId="0FE0ECCD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（四）接受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财政局的业务指导和监督等。</w:t>
      </w:r>
    </w:p>
    <w:p w14:paraId="26250027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第七条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行政事业单位的主要职责：</w:t>
      </w:r>
    </w:p>
    <w:p w14:paraId="0F08E24E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（一）制定本单位资产配置管理具体办法并组织实施；</w:t>
      </w:r>
    </w:p>
    <w:p w14:paraId="23644227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（二）负责本单位资产配置事项；</w:t>
      </w:r>
    </w:p>
    <w:p w14:paraId="79BE5A6A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（三）接受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财政局及主管部门的业务指导和监督等。</w:t>
      </w:r>
    </w:p>
    <w:p w14:paraId="7F8C2D7E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 </w:t>
      </w:r>
    </w:p>
    <w:p w14:paraId="0B4ACFD5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第三章  资产配置标准</w:t>
      </w:r>
    </w:p>
    <w:p w14:paraId="3F447CD1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第八条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资产配置标准是对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行政事业单位配置资产的数量、价格、使用年限等指标的限额规定，是编报和审核资产配置预算、实施资产采购和监督检查的重要依据。</w:t>
      </w:r>
    </w:p>
    <w:p w14:paraId="77967445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第九条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资产配置标准包括数量标准、价格标准、使用年限标准、技术标准及其他标准，可采用上限标准、区间标准、下限标准或其他适宜的形式。</w:t>
      </w:r>
    </w:p>
    <w:p w14:paraId="7370A33F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第十条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资产配置标准应当保持相对稳定，并根据国家有关政策、经济社会发展水平、市场价格变化、科学技术进步等因素适时调整。</w:t>
      </w:r>
    </w:p>
    <w:p w14:paraId="5B4D1E0D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第十一条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通用办公设备、家具等资产配置标准，按照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国家及省、市有关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规定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执行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。</w:t>
      </w:r>
    </w:p>
    <w:p w14:paraId="1DF0B7CB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办公及业务用房、公务用车配置标准按照国家、省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、市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及我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有关规定执行。</w:t>
      </w:r>
    </w:p>
    <w:p w14:paraId="05E70452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第十二条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行政事业单位应当严格执行规定的配置标准，存量资产数量已达到规定标准的，不得申请配置同类资产。没有规定配置标准的，应当从实际需要出发，厉行节约，从严控制，避免浪费。</w:t>
      </w:r>
    </w:p>
    <w:p w14:paraId="63BB1A21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 </w:t>
      </w:r>
    </w:p>
    <w:p w14:paraId="42FDA380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第四章  资产配置方式</w:t>
      </w:r>
    </w:p>
    <w:p w14:paraId="4781EC45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第十三条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资产配置的方式主要包括调剂、租用、购置、建设、接受捐赠等。</w:t>
      </w:r>
    </w:p>
    <w:p w14:paraId="03CAE7F1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第十四条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调剂是指以无偿调入的方式配置资产的行为，应当按照相关管理办法确定的程序办理。</w:t>
      </w:r>
    </w:p>
    <w:p w14:paraId="5B03B68C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第十五条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租用是指以支付一定费用取得资产使用权的方式配置资产的行为，应当遵循公开、公平、公正和市场化原则，遵守国家、省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、市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及我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有关规定。</w:t>
      </w:r>
    </w:p>
    <w:p w14:paraId="30B89465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ascii="仿宋_GB2312" w:hAnsi="宋体" w:eastAsia="仿宋_GB2312" w:cs="仿宋_GB2312"/>
          <w:b/>
          <w:bCs w:val="0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第十六条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购置是指以购买的方式配置资产的行为。</w:t>
      </w:r>
    </w:p>
    <w:p w14:paraId="2E61AF2A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第十七条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建设是指以自建、自行研制、委托开发等方式配置资产的行为。资产建设应当按照国家、省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市</w:t>
      </w:r>
      <w:r>
        <w:rPr>
          <w:rFonts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及我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有关规定履行审批程序</w:t>
      </w:r>
      <w:r>
        <w:rPr>
          <w:rFonts w:hint="eastAsia"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，重大事项须经过可行性研究和政府决策。</w:t>
      </w:r>
    </w:p>
    <w:p w14:paraId="1987853F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3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第十八条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行政事业单位通过接受捐赠的方式配置资产，应当符合《中华人民共和国公益事业捐赠法》等有关规定。</w:t>
      </w:r>
    </w:p>
    <w:p w14:paraId="7580940C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 w:firstLine="643" w:firstLineChars="20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第十九条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行政事业单位配置资产，应当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坚持“政府过紧日子”要求，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优先通过政府公物仓等调剂解决。确实无法调剂的，应当遵循控制成本、节约资金、方便使用的原则，对租用、购置、建设等方式进行综合分析，选择最优方式进行配置。</w:t>
      </w:r>
    </w:p>
    <w:p w14:paraId="4C8F5EA2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第二十条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经批准召开重大会议、举办大型活动及开展临时性工作等需要配置资产的，主办单位应当利用现有资产，无法满足的，通过政府公物仓调剂、租用、购置等方式解决。采用调剂、购置方式解决的，会议、活动等结束后</w:t>
      </w:r>
      <w:r>
        <w:rPr>
          <w:rFonts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1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个月内将相关资产纳入政府公物仓管理。</w:t>
      </w:r>
    </w:p>
    <w:p w14:paraId="7F41FE5E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第二十一条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行政事业单位配置单价</w:t>
      </w:r>
      <w:r>
        <w:rPr>
          <w:rFonts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30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万元以上（含</w:t>
      </w:r>
      <w:r>
        <w:rPr>
          <w:rFonts w:ascii="Times New Roman" w:hAnsi="Times New Roman" w:eastAsia="宋体" w:cs="Times New Roman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30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万元）科研仪器设备等价值较高的资产时，优先通过共享共用方式解决。</w:t>
      </w:r>
    </w:p>
    <w:p w14:paraId="764C8886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center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 w14:paraId="359A9D3C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第五章  资产配置程序</w:t>
      </w:r>
    </w:p>
    <w:p w14:paraId="3608B0B1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第二十二条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行政事业单位通过租用、购置、建设方式配置资产的，应当按照预算管理规定的程序办理：</w:t>
      </w:r>
    </w:p>
    <w:p w14:paraId="16FC3D0E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（一）申报。各单位应当根据工作需要、资产存量情况及资产配置标准等，按要求编制资产配置预算，履行规定程序后申报。预算项目中包含资产配置事项的，应当细化到具体资产品目等。</w:t>
      </w:r>
    </w:p>
    <w:p w14:paraId="04963254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（二）审核。主管部门根据资产配置标准、工作需要、资产存量、使用绩效等，对本级及所属单位资产配置的必要性、合理性、合规性严格把关，将审核后的资产配置预算随部门预算报送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财政局。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财政局按职责对资产配置预算进行审核。</w:t>
      </w:r>
    </w:p>
    <w:p w14:paraId="5A5D3005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（三）批复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。县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财政局按规定履行程序后，批复部门预算时一并批复资产配置预算。</w:t>
      </w:r>
    </w:p>
    <w:p w14:paraId="520CD505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第二十三条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行政事业单位应当严格按照资产管理、预算管理规定和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财政局批复的预算配置资产。</w:t>
      </w:r>
    </w:p>
    <w:p w14:paraId="74296AFB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第二十四条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资产配置预算一经批复，原则上不得调整。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行政事业单位在预算执行中因工作需要，确需变更资产品目、数量、价格的，报主管部门审核同意。</w:t>
      </w:r>
    </w:p>
    <w:p w14:paraId="408B1BEB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其中，已有资产配置标准的，原则上同类资产不得超过规定标准，因落实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委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政府工作要求、符合改革创新和事业发展大局等特殊情况，突破价格标准的，报主管部门集体决策。</w:t>
      </w:r>
    </w:p>
    <w:p w14:paraId="733F1875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上述调整涉及经费的，按照预算管理相关规定执行。</w:t>
      </w:r>
    </w:p>
    <w:p w14:paraId="7F46A566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第二十五条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行政事业单位配置资产需纳入政府采购范围的，应当按照政府采购有关法律法规及制度规定执行。</w:t>
      </w:r>
    </w:p>
    <w:p w14:paraId="353A176B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第二十六条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行政事业单位配置资产后应当及时验收、登记，建立资产信息卡和资产账目，并将资产相关信息录入资产管理信息系统，做到账实相符、账账相符、账卡相符，不得形成账外资产。</w:t>
      </w:r>
    </w:p>
    <w:p w14:paraId="1732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/>
          <w:lang w:val="en-US" w:eastAsia="zh-CN"/>
        </w:rPr>
      </w:pPr>
      <w:r>
        <w:rPr>
          <w:lang w:val="en-US" w:eastAsia="zh-CN"/>
        </w:rPr>
        <w:t>采用建设方式配置资产的，按规定办理工程竣工财务决算、资产交付使用和产权登记手续，规范账务处理；对已交付但未办理竣工财务决算的建设项目，应当按照估计价值入账，待办理竣工财务决算后再按实际成本调整原来的暂估价值。</w:t>
      </w:r>
    </w:p>
    <w:p w14:paraId="3E87F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第六章  监督管理</w:t>
      </w:r>
    </w:p>
    <w:p w14:paraId="7069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/>
        </w:rPr>
      </w:pPr>
      <w:r>
        <w:rPr>
          <w:lang w:val="en-US" w:eastAsia="zh-CN"/>
        </w:rPr>
        <w:t>  </w:t>
      </w:r>
      <w:r>
        <w:rPr>
          <w:b/>
          <w:bCs/>
          <w:lang w:val="en-US" w:eastAsia="zh-CN"/>
        </w:rPr>
        <w:t>第二十七条</w:t>
      </w:r>
      <w:r>
        <w:rPr>
          <w:rFonts w:hint="eastAsia"/>
          <w:lang w:val="en-US" w:eastAsia="zh-CN"/>
        </w:rPr>
        <w:t xml:space="preserve">   县级</w:t>
      </w:r>
      <w:r>
        <w:rPr>
          <w:lang w:val="en-US" w:eastAsia="zh-CN"/>
        </w:rPr>
        <w:t>行政事业单位应当依法依规编制和执行资产配置预算，严格加强内部监督，及时发现和纠正资产配置中的违法、违规行为。</w:t>
      </w:r>
    </w:p>
    <w:p w14:paraId="7A5328F5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主管部门应当建立健全监管机制，及时发现和纠正本级及所属单位资产配置中的违法、违规行为，提高资产配置效率。</w:t>
      </w:r>
    </w:p>
    <w:p w14:paraId="0A949A38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财政局会同有关部门加强对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行政事业单位资产配置的监督检查，对存在下列情形的单位，视情节轻重采取适当方式予以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处理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：</w:t>
      </w:r>
    </w:p>
    <w:p w14:paraId="5FAE2878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（一）报送虚假材料的；</w:t>
      </w:r>
    </w:p>
    <w:p w14:paraId="3BF684DA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（二）未经批准超标准配置资产的；</w:t>
      </w:r>
    </w:p>
    <w:p w14:paraId="52D2E08C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（三）存在闲置、低效运转资产仍配置同类资产的；</w:t>
      </w:r>
    </w:p>
    <w:p w14:paraId="411D44C7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（四）按规定应当将资产纳入政府公物仓管理而未纳入的。</w:t>
      </w:r>
    </w:p>
    <w:p w14:paraId="0F5FAF04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第二十八条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及其工作人员在资产配置过程中，存在违反本办法规定的行为，以及其他滥用职权、玩忽职守、徇私舞弊等违法违纪行为的，按照《中华人民共和国预算法》《中华人民共和国公务员法》《中华人民共和国监察法》《中华人民共和国财政违法行为处罚处分条例》《行政事业性国有资产管理条例》等国家有关规定追究相应责任；构成犯罪的，依法追究刑事责任。</w:t>
      </w:r>
    </w:p>
    <w:p w14:paraId="5D3A07C7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第七章  附则</w:t>
      </w:r>
    </w:p>
    <w:p w14:paraId="5AF61C8C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第二十九条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执行企业财务、会计制度的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事业单位资产配置，不适用本办法。</w:t>
      </w:r>
    </w:p>
    <w:p w14:paraId="32D4F48E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第三十条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公共基础设施、政府储备物资、国有文物文化等行政事业性国有资产配置，按照有关规定执行。</w:t>
      </w:r>
    </w:p>
    <w:p w14:paraId="543B28F5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ascii="仿宋_GB2312" w:hAnsi="宋体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第三十一条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县级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行政事业单位涉及国家安全和秘密的国有资产配置，应当符合国家有关保密制度的规定和要求。</w:t>
      </w:r>
    </w:p>
    <w:p w14:paraId="5D78FC62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3"/>
        <w:jc w:val="both"/>
        <w:rPr>
          <w:rFonts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第三十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二</w:t>
      </w: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条</w:t>
      </w:r>
      <w:r>
        <w:rPr>
          <w:rFonts w:hint="eastAsia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 xml:space="preserve"> 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本办法自印发之日起施行，由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财政局负责解释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vertAlign w:val="baseline"/>
          <w:lang w:val="en-US" w:eastAsia="zh-CN" w:bidi="ar"/>
        </w:rPr>
        <w:t>。</w:t>
      </w:r>
    </w:p>
    <w:p w14:paraId="5B7DD0EE">
      <w:pPr>
        <w:bidi w:val="0"/>
        <w:rPr>
          <w:color w:val="000000"/>
          <w:lang w:val="en-US" w:eastAsia="zh-CN"/>
        </w:rPr>
      </w:pPr>
    </w:p>
    <w:p w14:paraId="399BDEDD">
      <w:pPr>
        <w:bidi w:val="0"/>
        <w:rPr>
          <w:color w:val="000000"/>
          <w:lang w:val="en-US" w:eastAsia="zh-CN"/>
        </w:rPr>
      </w:pPr>
    </w:p>
    <w:p w14:paraId="771A718A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2A173FB5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5F028945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76DAA55E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6C5EB4F3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72B56A7E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  <w:bookmarkStart w:id="0" w:name="_GoBack"/>
      <w:bookmarkEnd w:id="0"/>
    </w:p>
    <w:p w14:paraId="10F5D8AE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1F6A42D8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5F81C345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27C60F80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/>
        <w:jc w:val="both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</w:rPr>
      </w:pPr>
    </w:p>
    <w:p w14:paraId="7FB249A8">
      <w:pPr>
        <w:pStyle w:val="5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both"/>
        <w:outlineLvl w:val="9"/>
        <w:rPr>
          <w:rFonts w:hint="eastAsia" w:ascii="仿宋_GB2312" w:hAnsi="Times New Roman"/>
          <w:sz w:val="28"/>
          <w:szCs w:val="28"/>
          <w:u w:val="thick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  <w:u w:val="thick"/>
        </w:rPr>
        <w:t xml:space="preserve">                                                            </w:t>
      </w:r>
      <w:r>
        <w:rPr>
          <w:rFonts w:hint="eastAsia" w:ascii="仿宋_GB2312" w:hAnsi="Times New Roman"/>
          <w:sz w:val="28"/>
          <w:szCs w:val="28"/>
          <w:u w:val="thick"/>
          <w:lang w:val="en-US" w:eastAsia="zh-CN"/>
        </w:rPr>
        <w:t xml:space="preserve">      </w:t>
      </w:r>
    </w:p>
    <w:p w14:paraId="5B57AD8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rPr>
          <w:rFonts w:hint="eastAsia"/>
          <w:u w:val="thick"/>
          <w:lang w:val="en-US" w:eastAsia="zh-CN"/>
        </w:rPr>
      </w:pPr>
      <w:r>
        <w:rPr>
          <w:rFonts w:hint="eastAsia" w:ascii="仿宋_GB2312" w:hAnsi="Times New Roman" w:eastAsia="仿宋_GB2312"/>
          <w:sz w:val="28"/>
          <w:szCs w:val="28"/>
          <w:u w:val="thick"/>
        </w:rPr>
        <w:t xml:space="preserve">黟县财政局                                </w:t>
      </w:r>
      <w:r>
        <w:rPr>
          <w:rFonts w:hint="eastAsia" w:ascii="仿宋_GB2312" w:hAnsi="Times New Roman"/>
          <w:sz w:val="28"/>
          <w:szCs w:val="28"/>
          <w:u w:val="thick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  <w:u w:val="thick"/>
        </w:rPr>
        <w:t>202</w:t>
      </w:r>
      <w:r>
        <w:rPr>
          <w:rFonts w:hint="eastAsia" w:ascii="仿宋_GB2312" w:hAnsi="Times New Roman"/>
          <w:sz w:val="28"/>
          <w:szCs w:val="28"/>
          <w:u w:val="thick"/>
          <w:lang w:val="en-US" w:eastAsia="zh-CN"/>
        </w:rPr>
        <w:t>5</w:t>
      </w:r>
      <w:r>
        <w:rPr>
          <w:rFonts w:hint="eastAsia" w:ascii="仿宋_GB2312" w:hAnsi="Times New Roman" w:eastAsia="仿宋_GB2312"/>
          <w:sz w:val="28"/>
          <w:szCs w:val="28"/>
          <w:u w:val="thick"/>
        </w:rPr>
        <w:t>年</w:t>
      </w:r>
      <w:r>
        <w:rPr>
          <w:rFonts w:hint="eastAsia" w:ascii="仿宋_GB2312" w:hAnsi="Times New Roman"/>
          <w:sz w:val="28"/>
          <w:szCs w:val="28"/>
          <w:u w:val="thick"/>
          <w:lang w:val="en-US" w:eastAsia="zh-CN"/>
        </w:rPr>
        <w:t>7</w:t>
      </w:r>
      <w:r>
        <w:rPr>
          <w:rFonts w:hint="eastAsia" w:ascii="仿宋_GB2312" w:hAnsi="Times New Roman" w:eastAsia="仿宋_GB2312"/>
          <w:sz w:val="28"/>
          <w:szCs w:val="28"/>
          <w:u w:val="thick"/>
        </w:rPr>
        <w:t>月</w:t>
      </w:r>
      <w:r>
        <w:rPr>
          <w:rFonts w:hint="eastAsia" w:ascii="仿宋_GB2312" w:hAnsi="Times New Roman"/>
          <w:sz w:val="28"/>
          <w:szCs w:val="28"/>
          <w:u w:val="thick"/>
          <w:lang w:val="en-US" w:eastAsia="zh-CN"/>
        </w:rPr>
        <w:t>21</w:t>
      </w:r>
      <w:r>
        <w:rPr>
          <w:rFonts w:hint="eastAsia" w:ascii="仿宋_GB2312" w:hAnsi="Times New Roman" w:eastAsia="仿宋_GB2312"/>
          <w:sz w:val="28"/>
          <w:szCs w:val="28"/>
          <w:u w:val="thick"/>
        </w:rPr>
        <w:t xml:space="preserve">日印发 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</w:t>
      </w:r>
    </w:p>
    <w:sectPr>
      <w:headerReference r:id="rId3" w:type="default"/>
      <w:pgSz w:w="11906" w:h="16838"/>
      <w:pgMar w:top="2098" w:right="1418" w:bottom="1985" w:left="1418" w:header="851" w:footer="135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4FDF1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0352D2"/>
    <w:rsid w:val="7A3E5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3235</Words>
  <Characters>3260</Characters>
  <TotalTime>0</TotalTime>
  <ScaleCrop>false</ScaleCrop>
  <LinksUpToDate>false</LinksUpToDate>
  <CharactersWithSpaces>3553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2025-11-06T09:37:00Z</dcterms:created>
  <dc:creator>Administrator</dc:creator>
  <cp:lastModifiedBy>清风徐徐</cp:lastModifiedBy>
  <dcterms:modified xsi:type="dcterms:W3CDTF">2025-11-06T01:39:15Z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eyJoZGlkIjoiODJkZTU3NDY2ZmNiNDlhNGE4MGNiMjNhZjdkZDQwNTAiLCJ1c2VySWQiOiIxMTU1NTk1OTQ4In0=</vt:lpwstr>
  </property>
  <property fmtid="{D5CDD505-2E9C-101B-9397-08002B2CF9AE}" pid="3" name="KSOProductBuildVer">
    <vt:lpwstr>2052-12.1.0.23125</vt:lpwstr>
  </property>
  <property fmtid="{D5CDD505-2E9C-101B-9397-08002B2CF9AE}" pid="4" name="ICV">
    <vt:lpwstr>444E2D08C3F144438BBC19A015BCC916_12</vt:lpwstr>
  </property>
</Properties>
</file>